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华文中宋" w:hAnsi="华文中宋" w:eastAsia="华文中宋" w:cs="黑体"/>
          <w:sz w:val="52"/>
          <w:szCs w:val="52"/>
        </w:rPr>
      </w:pPr>
      <w:r>
        <w:rPr>
          <w:rFonts w:hint="eastAsia" w:ascii="华文中宋" w:hAnsi="华文中宋" w:eastAsia="华文中宋" w:cs="黑体"/>
          <w:sz w:val="52"/>
          <w:szCs w:val="52"/>
        </w:rPr>
        <w:t>首都师范大学2356090消防专款——消防器材项目（灭火器检修及消防器材购置）</w:t>
      </w:r>
    </w:p>
    <w:p>
      <w:pPr>
        <w:jc w:val="center"/>
        <w:rPr>
          <w:rFonts w:ascii="华文中宋" w:hAnsi="华文中宋" w:eastAsia="华文中宋" w:cs="黑体"/>
          <w:sz w:val="52"/>
          <w:szCs w:val="52"/>
        </w:rPr>
      </w:pPr>
    </w:p>
    <w:p>
      <w:pPr>
        <w:spacing w:line="240" w:lineRule="atLeast"/>
        <w:ind w:right="-57" w:rightChars="-27"/>
        <w:jc w:val="center"/>
        <w:rPr>
          <w:rFonts w:ascii="华文中宋" w:hAnsi="华文中宋" w:eastAsia="华文中宋" w:cs="黑体"/>
          <w:sz w:val="84"/>
          <w:szCs w:val="84"/>
        </w:rPr>
      </w:pPr>
      <w:r>
        <w:rPr>
          <w:rFonts w:hint="eastAsia" w:ascii="华文中宋" w:hAnsi="华文中宋" w:eastAsia="华文中宋" w:cs="黑体"/>
          <w:sz w:val="84"/>
          <w:szCs w:val="84"/>
        </w:rPr>
        <w:t>比 选 文 件</w:t>
      </w:r>
    </w:p>
    <w:p>
      <w:pPr>
        <w:ind w:firstLine="2814" w:firstLineChars="1001"/>
        <w:rPr>
          <w:rFonts w:ascii="宋体" w:hAnsi="宋体"/>
          <w:b/>
          <w:sz w:val="28"/>
        </w:rPr>
      </w:pPr>
    </w:p>
    <w:p>
      <w:pPr>
        <w:ind w:firstLine="2814" w:firstLineChars="1001"/>
        <w:rPr>
          <w:rFonts w:ascii="宋体" w:hAnsi="宋体"/>
          <w:b/>
          <w:sz w:val="28"/>
        </w:rPr>
      </w:pPr>
    </w:p>
    <w:p>
      <w:pPr>
        <w:jc w:val="center"/>
        <w:rPr>
          <w:rFonts w:ascii="宋体" w:hAnsi="宋体"/>
          <w:b/>
          <w:sz w:val="32"/>
        </w:rPr>
      </w:pPr>
      <w:r>
        <w:rPr>
          <w:rFonts w:ascii="宋体" w:hAnsi="宋体"/>
          <w:b/>
          <w:color w:val="000000"/>
          <w:sz w:val="52"/>
        </w:rPr>
        <w:drawing>
          <wp:inline distT="0" distB="0" distL="114300" distR="114300">
            <wp:extent cx="3434080" cy="2421255"/>
            <wp:effectExtent l="0" t="0" r="7620" b="4445"/>
            <wp:docPr id="1"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明德致信-LOGO-1"/>
                    <pic:cNvPicPr>
                      <a:picLocks noChangeAspect="1"/>
                    </pic:cNvPicPr>
                  </pic:nvPicPr>
                  <pic:blipFill>
                    <a:blip r:embed="rId19"/>
                    <a:stretch>
                      <a:fillRect/>
                    </a:stretch>
                  </pic:blipFill>
                  <pic:spPr>
                    <a:xfrm>
                      <a:off x="0" y="0"/>
                      <a:ext cx="3434080" cy="2421255"/>
                    </a:xfrm>
                    <a:prstGeom prst="rect">
                      <a:avLst/>
                    </a:prstGeom>
                    <a:noFill/>
                    <a:ln>
                      <a:noFill/>
                    </a:ln>
                  </pic:spPr>
                </pic:pic>
              </a:graphicData>
            </a:graphic>
          </wp:inline>
        </w:drawing>
      </w:r>
    </w:p>
    <w:p>
      <w:pPr>
        <w:spacing w:line="480" w:lineRule="auto"/>
        <w:ind w:right="-57" w:rightChars="-27" w:firstLine="1084" w:firstLineChars="300"/>
        <w:rPr>
          <w:rFonts w:eastAsia="黑体"/>
          <w:b/>
          <w:sz w:val="36"/>
          <w:szCs w:val="36"/>
        </w:rPr>
      </w:pPr>
    </w:p>
    <w:p>
      <w:pPr>
        <w:spacing w:line="480" w:lineRule="auto"/>
        <w:ind w:right="-57" w:rightChars="-27" w:firstLine="1084" w:firstLineChars="300"/>
        <w:rPr>
          <w:rFonts w:eastAsia="黑体"/>
          <w:b/>
          <w:sz w:val="36"/>
          <w:szCs w:val="36"/>
        </w:rPr>
      </w:pPr>
      <w:r>
        <w:rPr>
          <w:rFonts w:eastAsia="黑体"/>
          <w:b/>
          <w:sz w:val="36"/>
          <w:szCs w:val="36"/>
        </w:rPr>
        <w:t>项目编号：</w:t>
      </w:r>
      <w:r>
        <w:rPr>
          <w:rFonts w:hint="eastAsia" w:eastAsia="黑体"/>
          <w:b/>
          <w:sz w:val="36"/>
          <w:szCs w:val="36"/>
        </w:rPr>
        <w:t>BMCC-ZC23-0179</w:t>
      </w:r>
    </w:p>
    <w:p>
      <w:pPr>
        <w:spacing w:line="480" w:lineRule="auto"/>
        <w:ind w:right="-57" w:rightChars="-27" w:firstLine="1084" w:firstLineChars="300"/>
        <w:rPr>
          <w:rFonts w:eastAsia="黑体"/>
          <w:b/>
          <w:sz w:val="36"/>
          <w:szCs w:val="36"/>
        </w:rPr>
      </w:pPr>
      <w:r>
        <w:rPr>
          <w:rFonts w:eastAsia="黑体"/>
          <w:b/>
          <w:sz w:val="36"/>
          <w:szCs w:val="36"/>
        </w:rPr>
        <w:t>采购人</w:t>
      </w:r>
      <w:r>
        <w:rPr>
          <w:rFonts w:hint="eastAsia" w:eastAsia="黑体"/>
          <w:b/>
          <w:sz w:val="36"/>
          <w:szCs w:val="36"/>
        </w:rPr>
        <w:t>：首都师范大学</w:t>
      </w:r>
    </w:p>
    <w:p>
      <w:pPr>
        <w:spacing w:line="480" w:lineRule="auto"/>
        <w:ind w:right="-57" w:rightChars="-27" w:firstLine="1084" w:firstLineChars="300"/>
        <w:rPr>
          <w:rFonts w:eastAsia="黑体"/>
          <w:b/>
          <w:sz w:val="36"/>
          <w:szCs w:val="36"/>
        </w:rPr>
      </w:pPr>
      <w:r>
        <w:rPr>
          <w:rFonts w:eastAsia="黑体"/>
          <w:b/>
          <w:sz w:val="36"/>
          <w:szCs w:val="36"/>
        </w:rPr>
        <w:t>采购代理机构</w:t>
      </w:r>
      <w:r>
        <w:rPr>
          <w:rFonts w:hint="eastAsia" w:eastAsia="黑体"/>
          <w:b/>
          <w:sz w:val="36"/>
          <w:szCs w:val="36"/>
        </w:rPr>
        <w:t>：北京明德致信咨询有限公司</w:t>
      </w:r>
    </w:p>
    <w:p>
      <w:pPr>
        <w:pStyle w:val="6"/>
        <w:rPr>
          <w:rFonts w:hAnsi="宋体"/>
          <w:b/>
          <w:sz w:val="72"/>
        </w:rPr>
      </w:pPr>
    </w:p>
    <w:p>
      <w:pPr>
        <w:pStyle w:val="6"/>
        <w:rPr>
          <w:rFonts w:hAnsi="宋体"/>
          <w:b/>
          <w:sz w:val="72"/>
        </w:rPr>
      </w:pPr>
    </w:p>
    <w:p>
      <w:pPr>
        <w:spacing w:line="360" w:lineRule="auto"/>
        <w:jc w:val="center"/>
        <w:outlineLvl w:val="0"/>
        <w:rPr>
          <w:rFonts w:ascii="宋体" w:hAnsi="宋体"/>
          <w:b/>
          <w:sz w:val="36"/>
          <w:szCs w:val="36"/>
        </w:rPr>
      </w:pPr>
      <w:bookmarkStart w:id="0" w:name="_Toc32426"/>
      <w:bookmarkStart w:id="1" w:name="_Toc17531"/>
      <w:bookmarkStart w:id="2" w:name="_Toc99301418"/>
      <w:bookmarkStart w:id="3" w:name="_Toc100564784"/>
      <w:bookmarkStart w:id="4" w:name="_Toc27935"/>
      <w:r>
        <w:rPr>
          <w:rFonts w:ascii="宋体" w:hAnsi="宋体"/>
          <w:b/>
          <w:sz w:val="36"/>
          <w:szCs w:val="36"/>
        </w:rPr>
        <w:t>目  录</w:t>
      </w:r>
      <w:bookmarkEnd w:id="0"/>
      <w:bookmarkEnd w:id="1"/>
      <w:bookmarkEnd w:id="2"/>
      <w:bookmarkEnd w:id="3"/>
      <w:bookmarkEnd w:id="4"/>
    </w:p>
    <w:p>
      <w:pPr>
        <w:pStyle w:val="29"/>
        <w:tabs>
          <w:tab w:val="right" w:leader="dot" w:pos="9072"/>
        </w:tabs>
      </w:pPr>
      <w:r>
        <w:fldChar w:fldCharType="begin"/>
      </w:r>
      <w:r>
        <w:instrText xml:space="preserve">TOC \o "1-1" \h \u </w:instrText>
      </w:r>
      <w:r>
        <w:fldChar w:fldCharType="separate"/>
      </w:r>
      <w:r>
        <w:fldChar w:fldCharType="begin"/>
      </w:r>
      <w:r>
        <w:instrText xml:space="preserve"> HYPERLINK \l "_Toc19864" </w:instrText>
      </w:r>
      <w:r>
        <w:fldChar w:fldCharType="separate"/>
      </w:r>
      <w:r>
        <w:rPr>
          <w:rFonts w:ascii="宋体" w:hAnsi="宋体"/>
          <w:szCs w:val="36"/>
        </w:rPr>
        <w:t xml:space="preserve">第一章  </w:t>
      </w:r>
      <w:r>
        <w:rPr>
          <w:rFonts w:hint="eastAsia" w:ascii="宋体" w:hAnsi="宋体"/>
          <w:szCs w:val="36"/>
        </w:rPr>
        <w:t>比选邀请</w:t>
      </w:r>
      <w:r>
        <w:tab/>
      </w:r>
      <w:r>
        <w:fldChar w:fldCharType="begin"/>
      </w:r>
      <w:r>
        <w:instrText xml:space="preserve"> PAGEREF _Toc19864 \h </w:instrText>
      </w:r>
      <w:r>
        <w:fldChar w:fldCharType="separate"/>
      </w:r>
      <w:r>
        <w:t>2</w:t>
      </w:r>
      <w:r>
        <w:fldChar w:fldCharType="end"/>
      </w:r>
      <w:r>
        <w:fldChar w:fldCharType="end"/>
      </w:r>
    </w:p>
    <w:p>
      <w:pPr>
        <w:pStyle w:val="29"/>
        <w:tabs>
          <w:tab w:val="right" w:leader="dot" w:pos="9072"/>
        </w:tabs>
      </w:pPr>
      <w:r>
        <w:fldChar w:fldCharType="begin"/>
      </w:r>
      <w:r>
        <w:instrText xml:space="preserve"> HYPERLINK \l "_Toc5899" </w:instrText>
      </w:r>
      <w:r>
        <w:fldChar w:fldCharType="separate"/>
      </w:r>
      <w:r>
        <w:rPr>
          <w:rFonts w:ascii="宋体" w:hAnsi="宋体"/>
          <w:szCs w:val="36"/>
        </w:rPr>
        <w:t xml:space="preserve">第二章  </w:t>
      </w:r>
      <w:r>
        <w:rPr>
          <w:rFonts w:hint="eastAsia" w:ascii="宋体" w:hAnsi="宋体"/>
          <w:szCs w:val="36"/>
        </w:rPr>
        <w:t>供应商</w:t>
      </w:r>
      <w:r>
        <w:rPr>
          <w:rFonts w:ascii="宋体" w:hAnsi="宋体"/>
          <w:szCs w:val="36"/>
        </w:rPr>
        <w:t>须知</w:t>
      </w:r>
      <w:r>
        <w:tab/>
      </w:r>
      <w:r>
        <w:fldChar w:fldCharType="begin"/>
      </w:r>
      <w:r>
        <w:instrText xml:space="preserve"> PAGEREF _Toc5899 \h </w:instrText>
      </w:r>
      <w:r>
        <w:fldChar w:fldCharType="separate"/>
      </w:r>
      <w:r>
        <w:t>5</w:t>
      </w:r>
      <w:r>
        <w:fldChar w:fldCharType="end"/>
      </w:r>
      <w:r>
        <w:fldChar w:fldCharType="end"/>
      </w:r>
    </w:p>
    <w:p>
      <w:pPr>
        <w:pStyle w:val="29"/>
        <w:tabs>
          <w:tab w:val="right" w:leader="dot" w:pos="9072"/>
        </w:tabs>
      </w:pPr>
      <w:r>
        <w:fldChar w:fldCharType="begin"/>
      </w:r>
      <w:r>
        <w:instrText xml:space="preserve"> HYPERLINK \l "_Toc19436" </w:instrText>
      </w:r>
      <w:r>
        <w:fldChar w:fldCharType="separate"/>
      </w:r>
      <w:r>
        <w:rPr>
          <w:szCs w:val="36"/>
        </w:rPr>
        <w:t>第三章  评审方法和评审标准</w:t>
      </w:r>
      <w:r>
        <w:tab/>
      </w:r>
      <w:r>
        <w:fldChar w:fldCharType="begin"/>
      </w:r>
      <w:r>
        <w:instrText xml:space="preserve"> PAGEREF _Toc19436 \h </w:instrText>
      </w:r>
      <w:r>
        <w:fldChar w:fldCharType="separate"/>
      </w:r>
      <w:r>
        <w:t>22</w:t>
      </w:r>
      <w:r>
        <w:fldChar w:fldCharType="end"/>
      </w:r>
      <w:r>
        <w:fldChar w:fldCharType="end"/>
      </w:r>
    </w:p>
    <w:p>
      <w:pPr>
        <w:pStyle w:val="29"/>
        <w:tabs>
          <w:tab w:val="right" w:leader="dot" w:pos="9072"/>
        </w:tabs>
      </w:pPr>
      <w:r>
        <w:fldChar w:fldCharType="begin"/>
      </w:r>
      <w:r>
        <w:instrText xml:space="preserve"> HYPERLINK \l "_Toc7625" </w:instrText>
      </w:r>
      <w:r>
        <w:fldChar w:fldCharType="separate"/>
      </w:r>
      <w:r>
        <w:rPr>
          <w:rFonts w:ascii="宋体" w:hAnsi="宋体"/>
          <w:szCs w:val="36"/>
        </w:rPr>
        <w:t>第</w:t>
      </w:r>
      <w:r>
        <w:rPr>
          <w:rFonts w:hint="eastAsia" w:ascii="宋体" w:hAnsi="宋体"/>
          <w:szCs w:val="36"/>
        </w:rPr>
        <w:t>四</w:t>
      </w:r>
      <w:r>
        <w:rPr>
          <w:rFonts w:ascii="宋体" w:hAnsi="宋体"/>
          <w:szCs w:val="36"/>
        </w:rPr>
        <w:t>章  采购需求</w:t>
      </w:r>
      <w:r>
        <w:tab/>
      </w:r>
      <w:r>
        <w:fldChar w:fldCharType="begin"/>
      </w:r>
      <w:r>
        <w:instrText xml:space="preserve"> PAGEREF _Toc7625 \h </w:instrText>
      </w:r>
      <w:r>
        <w:fldChar w:fldCharType="separate"/>
      </w:r>
      <w:r>
        <w:t>36</w:t>
      </w:r>
      <w:r>
        <w:fldChar w:fldCharType="end"/>
      </w:r>
      <w:r>
        <w:fldChar w:fldCharType="end"/>
      </w:r>
    </w:p>
    <w:p>
      <w:pPr>
        <w:pStyle w:val="29"/>
        <w:tabs>
          <w:tab w:val="right" w:leader="dot" w:pos="9072"/>
        </w:tabs>
      </w:pPr>
      <w:r>
        <w:fldChar w:fldCharType="begin"/>
      </w:r>
      <w:r>
        <w:instrText xml:space="preserve"> HYPERLINK \l "_Toc10792" </w:instrText>
      </w:r>
      <w:r>
        <w:fldChar w:fldCharType="separate"/>
      </w:r>
      <w:r>
        <w:rPr>
          <w:rFonts w:ascii="宋体" w:hAnsi="宋体"/>
          <w:szCs w:val="36"/>
        </w:rPr>
        <w:t>第</w:t>
      </w:r>
      <w:r>
        <w:rPr>
          <w:rFonts w:hint="eastAsia" w:ascii="宋体" w:hAnsi="宋体"/>
          <w:szCs w:val="36"/>
        </w:rPr>
        <w:t>五</w:t>
      </w:r>
      <w:r>
        <w:rPr>
          <w:rFonts w:ascii="宋体" w:hAnsi="宋体"/>
          <w:szCs w:val="36"/>
        </w:rPr>
        <w:t>章  拟签订的合同文本</w:t>
      </w:r>
      <w:r>
        <w:tab/>
      </w:r>
      <w:r>
        <w:fldChar w:fldCharType="begin"/>
      </w:r>
      <w:r>
        <w:instrText xml:space="preserve"> PAGEREF _Toc10792 \h </w:instrText>
      </w:r>
      <w:r>
        <w:fldChar w:fldCharType="separate"/>
      </w:r>
      <w:r>
        <w:t>37</w:t>
      </w:r>
      <w:r>
        <w:fldChar w:fldCharType="end"/>
      </w:r>
      <w:r>
        <w:fldChar w:fldCharType="end"/>
      </w:r>
    </w:p>
    <w:p>
      <w:pPr>
        <w:pStyle w:val="29"/>
        <w:tabs>
          <w:tab w:val="right" w:leader="dot" w:pos="9072"/>
        </w:tabs>
      </w:pPr>
      <w:r>
        <w:fldChar w:fldCharType="begin"/>
      </w:r>
      <w:r>
        <w:instrText xml:space="preserve"> HYPERLINK \l "_Toc20502" </w:instrText>
      </w:r>
      <w:r>
        <w:fldChar w:fldCharType="separate"/>
      </w:r>
      <w:r>
        <w:rPr>
          <w:rFonts w:ascii="宋体" w:hAnsi="宋体"/>
          <w:szCs w:val="36"/>
        </w:rPr>
        <w:t>第</w:t>
      </w:r>
      <w:r>
        <w:rPr>
          <w:rFonts w:hint="eastAsia" w:ascii="宋体" w:hAnsi="宋体"/>
          <w:szCs w:val="36"/>
        </w:rPr>
        <w:t>六</w:t>
      </w:r>
      <w:r>
        <w:rPr>
          <w:rFonts w:ascii="宋体" w:hAnsi="宋体"/>
          <w:szCs w:val="36"/>
        </w:rPr>
        <w:t xml:space="preserve">章  </w:t>
      </w:r>
      <w:r>
        <w:rPr>
          <w:rFonts w:hint="eastAsia" w:ascii="宋体" w:hAnsi="宋体"/>
          <w:szCs w:val="36"/>
        </w:rPr>
        <w:t>响应文件</w:t>
      </w:r>
      <w:r>
        <w:rPr>
          <w:rFonts w:ascii="宋体" w:hAnsi="宋体"/>
          <w:szCs w:val="36"/>
        </w:rPr>
        <w:t>格式</w:t>
      </w:r>
      <w:r>
        <w:tab/>
      </w:r>
      <w:r>
        <w:fldChar w:fldCharType="begin"/>
      </w:r>
      <w:r>
        <w:instrText xml:space="preserve"> PAGEREF _Toc20502 \h </w:instrText>
      </w:r>
      <w:r>
        <w:fldChar w:fldCharType="separate"/>
      </w:r>
      <w:r>
        <w:t>43</w:t>
      </w:r>
      <w:r>
        <w:fldChar w:fldCharType="end"/>
      </w:r>
      <w:r>
        <w:fldChar w:fldCharType="end"/>
      </w:r>
    </w:p>
    <w:p>
      <w:pPr>
        <w:pStyle w:val="76"/>
        <w:spacing w:line="360" w:lineRule="auto"/>
        <w:rPr>
          <w:b w:val="0"/>
        </w:rPr>
      </w:pPr>
      <w:r>
        <w:fldChar w:fldCharType="end"/>
      </w:r>
    </w:p>
    <w:p>
      <w:pPr>
        <w:spacing w:line="360" w:lineRule="auto"/>
        <w:jc w:val="center"/>
        <w:outlineLvl w:val="0"/>
        <w:rPr>
          <w:rFonts w:ascii="宋体" w:hAnsi="宋体"/>
          <w:b/>
          <w:sz w:val="36"/>
          <w:szCs w:val="36"/>
        </w:rPr>
      </w:pPr>
      <w:r>
        <w:rPr>
          <w:rFonts w:ascii="宋体" w:hAnsi="宋体"/>
          <w:sz w:val="24"/>
        </w:rPr>
        <w:br w:type="page"/>
      </w:r>
      <w:bookmarkStart w:id="5" w:name="_Toc12300"/>
      <w:bookmarkStart w:id="6" w:name="_Toc19864"/>
      <w:r>
        <w:rPr>
          <w:rFonts w:ascii="宋体" w:hAnsi="宋体"/>
          <w:b/>
          <w:sz w:val="36"/>
          <w:szCs w:val="36"/>
        </w:rPr>
        <w:t xml:space="preserve">第一章  </w:t>
      </w:r>
      <w:bookmarkEnd w:id="5"/>
      <w:r>
        <w:rPr>
          <w:rFonts w:hint="eastAsia" w:ascii="宋体" w:hAnsi="宋体"/>
          <w:b/>
          <w:sz w:val="36"/>
          <w:szCs w:val="36"/>
        </w:rPr>
        <w:t>比选邀请</w:t>
      </w:r>
      <w:bookmarkEnd w:id="6"/>
    </w:p>
    <w:p>
      <w:pPr>
        <w:pStyle w:val="5"/>
        <w:spacing w:before="0" w:line="360" w:lineRule="auto"/>
        <w:jc w:val="left"/>
        <w:rPr>
          <w:rFonts w:ascii="宋体" w:hAnsi="宋体" w:eastAsia="宋体"/>
          <w:sz w:val="24"/>
          <w:szCs w:val="24"/>
        </w:rPr>
      </w:pPr>
      <w:bookmarkStart w:id="7" w:name="_Toc28359079"/>
      <w:bookmarkStart w:id="8" w:name="_Toc35393621"/>
      <w:bookmarkStart w:id="9" w:name="_Toc28359002"/>
      <w:bookmarkStart w:id="10" w:name="_Toc35393790"/>
      <w:bookmarkStart w:id="11" w:name="_Hlk24379207"/>
      <w:r>
        <w:rPr>
          <w:rFonts w:ascii="宋体" w:hAnsi="宋体" w:eastAsia="宋体"/>
          <w:sz w:val="24"/>
          <w:szCs w:val="24"/>
        </w:rPr>
        <w:t>一、项目基本情况</w:t>
      </w:r>
      <w:bookmarkEnd w:id="7"/>
      <w:bookmarkEnd w:id="8"/>
      <w:bookmarkEnd w:id="9"/>
      <w:bookmarkEnd w:id="10"/>
    </w:p>
    <w:p>
      <w:pPr>
        <w:spacing w:line="360" w:lineRule="auto"/>
        <w:ind w:firstLine="480" w:firstLineChars="200"/>
        <w:rPr>
          <w:rFonts w:ascii="宋体" w:hAnsi="宋体"/>
          <w:sz w:val="24"/>
        </w:rPr>
      </w:pPr>
      <w:r>
        <w:rPr>
          <w:rFonts w:ascii="宋体" w:hAnsi="宋体"/>
          <w:sz w:val="24"/>
        </w:rPr>
        <w:t>1.项目编</w:t>
      </w:r>
      <w:r>
        <w:rPr>
          <w:rFonts w:hint="eastAsia" w:ascii="宋体" w:hAnsi="宋体"/>
          <w:sz w:val="24"/>
        </w:rPr>
        <w:t>号：BMCC-ZC23-0179</w:t>
      </w:r>
    </w:p>
    <w:p>
      <w:pPr>
        <w:spacing w:line="360" w:lineRule="auto"/>
        <w:ind w:firstLine="480" w:firstLineChars="200"/>
        <w:rPr>
          <w:rFonts w:ascii="宋体" w:hAnsi="宋体"/>
          <w:sz w:val="24"/>
        </w:rPr>
      </w:pPr>
      <w:r>
        <w:rPr>
          <w:rFonts w:ascii="宋体" w:hAnsi="宋体"/>
          <w:sz w:val="24"/>
        </w:rPr>
        <w:t>2.项目名称：</w:t>
      </w:r>
      <w:r>
        <w:rPr>
          <w:rFonts w:hint="eastAsia" w:ascii="宋体" w:hAnsi="宋体"/>
          <w:sz w:val="24"/>
        </w:rPr>
        <w:t>首都师范大学2356090消防专款——消防器材项目（灭火器检修及消防器材购置）</w:t>
      </w:r>
      <w:r>
        <w:rPr>
          <w:rFonts w:ascii="宋体" w:hAnsi="宋体"/>
          <w:sz w:val="24"/>
        </w:rPr>
        <w:t xml:space="preserve"> </w:t>
      </w:r>
    </w:p>
    <w:bookmarkEnd w:id="11"/>
    <w:p>
      <w:pPr>
        <w:spacing w:line="360" w:lineRule="auto"/>
        <w:ind w:firstLine="480" w:firstLineChars="200"/>
        <w:rPr>
          <w:rFonts w:ascii="宋体" w:hAnsi="宋体"/>
          <w:sz w:val="24"/>
        </w:rPr>
      </w:pPr>
      <w:r>
        <w:rPr>
          <w:rFonts w:ascii="宋体" w:hAnsi="宋体"/>
          <w:sz w:val="24"/>
        </w:rPr>
        <w:t>3.项目预算金额：</w:t>
      </w:r>
      <w:r>
        <w:rPr>
          <w:rFonts w:ascii="宋体" w:hAnsi="宋体"/>
          <w:sz w:val="24"/>
          <w:u w:val="single"/>
        </w:rPr>
        <w:t xml:space="preserve"> </w:t>
      </w:r>
      <w:r>
        <w:rPr>
          <w:rFonts w:hint="eastAsia" w:ascii="宋体" w:hAnsi="宋体"/>
          <w:sz w:val="24"/>
          <w:u w:val="single"/>
        </w:rPr>
        <w:t>90</w:t>
      </w:r>
      <w:r>
        <w:rPr>
          <w:rFonts w:ascii="宋体" w:hAnsi="宋体"/>
          <w:sz w:val="24"/>
          <w:u w:val="single"/>
        </w:rPr>
        <w:t xml:space="preserve"> </w:t>
      </w:r>
      <w:r>
        <w:rPr>
          <w:rFonts w:hint="eastAsia" w:ascii="宋体" w:hAnsi="宋体"/>
          <w:sz w:val="24"/>
        </w:rPr>
        <w:t>万元</w:t>
      </w:r>
      <w:r>
        <w:rPr>
          <w:rFonts w:ascii="宋体" w:hAnsi="宋体"/>
          <w:sz w:val="24"/>
        </w:rPr>
        <w:t>、项目最高限价：</w:t>
      </w:r>
      <w:r>
        <w:rPr>
          <w:rFonts w:ascii="宋体" w:hAnsi="宋体"/>
          <w:sz w:val="24"/>
          <w:u w:val="single"/>
        </w:rPr>
        <w:t xml:space="preserve"> </w:t>
      </w:r>
      <w:r>
        <w:rPr>
          <w:rFonts w:hint="eastAsia" w:ascii="宋体" w:hAnsi="宋体"/>
          <w:sz w:val="24"/>
          <w:u w:val="single"/>
        </w:rPr>
        <w:t>90</w:t>
      </w:r>
      <w:r>
        <w:rPr>
          <w:rFonts w:ascii="宋体" w:hAnsi="宋体"/>
          <w:sz w:val="24"/>
          <w:u w:val="single"/>
        </w:rPr>
        <w:t xml:space="preserve">  </w:t>
      </w:r>
      <w:r>
        <w:rPr>
          <w:rFonts w:ascii="宋体" w:hAnsi="宋体"/>
          <w:sz w:val="24"/>
        </w:rPr>
        <w:t>万元</w:t>
      </w:r>
    </w:p>
    <w:p>
      <w:pPr>
        <w:spacing w:line="360" w:lineRule="auto"/>
        <w:ind w:firstLine="480" w:firstLineChars="200"/>
        <w:rPr>
          <w:rFonts w:ascii="宋体" w:hAnsi="宋体"/>
          <w:sz w:val="24"/>
        </w:rPr>
      </w:pPr>
      <w:r>
        <w:rPr>
          <w:rFonts w:ascii="宋体" w:hAnsi="宋体"/>
          <w:sz w:val="24"/>
        </w:rPr>
        <w:t>4.采购需求：</w:t>
      </w:r>
    </w:p>
    <w:tbl>
      <w:tblPr>
        <w:tblStyle w:val="40"/>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558"/>
        <w:gridCol w:w="1702"/>
        <w:gridCol w:w="998"/>
        <w:gridCol w:w="4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pPr>
              <w:jc w:val="center"/>
              <w:rPr>
                <w:bCs/>
                <w:szCs w:val="21"/>
              </w:rPr>
            </w:pPr>
            <w:r>
              <w:rPr>
                <w:bCs/>
                <w:szCs w:val="21"/>
              </w:rPr>
              <w:t>包号</w:t>
            </w:r>
          </w:p>
        </w:tc>
        <w:tc>
          <w:tcPr>
            <w:tcW w:w="843" w:type="pct"/>
            <w:vAlign w:val="center"/>
          </w:tcPr>
          <w:p>
            <w:pPr>
              <w:jc w:val="center"/>
              <w:rPr>
                <w:bCs/>
                <w:szCs w:val="21"/>
              </w:rPr>
            </w:pPr>
            <w:r>
              <w:rPr>
                <w:bCs/>
                <w:szCs w:val="21"/>
              </w:rPr>
              <w:t>标的名称</w:t>
            </w:r>
          </w:p>
        </w:tc>
        <w:tc>
          <w:tcPr>
            <w:tcW w:w="921" w:type="pct"/>
            <w:vAlign w:val="center"/>
          </w:tcPr>
          <w:p>
            <w:pPr>
              <w:jc w:val="center"/>
              <w:rPr>
                <w:bCs/>
                <w:szCs w:val="21"/>
              </w:rPr>
            </w:pPr>
            <w:r>
              <w:rPr>
                <w:bCs/>
                <w:szCs w:val="21"/>
              </w:rPr>
              <w:t>采购包预算金额</w:t>
            </w:r>
          </w:p>
          <w:p>
            <w:pPr>
              <w:jc w:val="center"/>
              <w:rPr>
                <w:bCs/>
                <w:szCs w:val="21"/>
              </w:rPr>
            </w:pPr>
            <w:r>
              <w:rPr>
                <w:bCs/>
                <w:szCs w:val="21"/>
              </w:rPr>
              <w:t>（万元）</w:t>
            </w:r>
          </w:p>
        </w:tc>
        <w:tc>
          <w:tcPr>
            <w:tcW w:w="540" w:type="pct"/>
            <w:vAlign w:val="center"/>
          </w:tcPr>
          <w:p>
            <w:pPr>
              <w:jc w:val="center"/>
              <w:rPr>
                <w:bCs/>
                <w:szCs w:val="21"/>
              </w:rPr>
            </w:pPr>
            <w:r>
              <w:rPr>
                <w:bCs/>
                <w:szCs w:val="21"/>
              </w:rPr>
              <w:t>数量</w:t>
            </w:r>
          </w:p>
        </w:tc>
        <w:tc>
          <w:tcPr>
            <w:tcW w:w="2314" w:type="pct"/>
            <w:vAlign w:val="center"/>
          </w:tcPr>
          <w:p>
            <w:pPr>
              <w:jc w:val="center"/>
              <w:rPr>
                <w:szCs w:val="21"/>
              </w:rPr>
            </w:pPr>
            <w:r>
              <w:rPr>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pPr>
              <w:jc w:val="center"/>
              <w:rPr>
                <w:bCs/>
                <w:szCs w:val="21"/>
              </w:rPr>
            </w:pPr>
            <w:r>
              <w:rPr>
                <w:bCs/>
                <w:szCs w:val="21"/>
              </w:rPr>
              <w:t>01</w:t>
            </w:r>
          </w:p>
        </w:tc>
        <w:tc>
          <w:tcPr>
            <w:tcW w:w="843" w:type="pct"/>
            <w:vAlign w:val="center"/>
          </w:tcPr>
          <w:p>
            <w:pPr>
              <w:rPr>
                <w:bCs/>
                <w:szCs w:val="21"/>
              </w:rPr>
            </w:pPr>
            <w:r>
              <w:rPr>
                <w:rFonts w:hint="eastAsia"/>
                <w:bCs/>
                <w:szCs w:val="21"/>
              </w:rPr>
              <w:t>灭火器检修及消防器材购置</w:t>
            </w:r>
          </w:p>
        </w:tc>
        <w:tc>
          <w:tcPr>
            <w:tcW w:w="921" w:type="pct"/>
            <w:vAlign w:val="center"/>
          </w:tcPr>
          <w:p>
            <w:pPr>
              <w:jc w:val="center"/>
              <w:rPr>
                <w:rFonts w:ascii="宋体" w:hAnsi="宋体" w:cs="Yu Mincho Light"/>
                <w:kern w:val="0"/>
                <w:szCs w:val="21"/>
              </w:rPr>
            </w:pPr>
            <w:r>
              <w:rPr>
                <w:rFonts w:hint="eastAsia" w:ascii="宋体" w:hAnsi="宋体" w:cs="Yu Mincho Light"/>
                <w:kern w:val="0"/>
                <w:szCs w:val="21"/>
              </w:rPr>
              <w:t>90.00</w:t>
            </w:r>
          </w:p>
        </w:tc>
        <w:tc>
          <w:tcPr>
            <w:tcW w:w="540" w:type="pct"/>
            <w:vAlign w:val="center"/>
          </w:tcPr>
          <w:p>
            <w:pPr>
              <w:jc w:val="center"/>
              <w:rPr>
                <w:rFonts w:ascii="宋体" w:hAnsi="宋体" w:cs="Yu Mincho Light"/>
                <w:kern w:val="0"/>
                <w:szCs w:val="21"/>
              </w:rPr>
            </w:pPr>
            <w:r>
              <w:rPr>
                <w:rFonts w:hint="eastAsia" w:ascii="宋体" w:hAnsi="宋体" w:cs="Yu Mincho Light"/>
                <w:kern w:val="0"/>
                <w:szCs w:val="21"/>
              </w:rPr>
              <w:t>1批</w:t>
            </w:r>
          </w:p>
        </w:tc>
        <w:tc>
          <w:tcPr>
            <w:tcW w:w="2314" w:type="pct"/>
            <w:vAlign w:val="center"/>
          </w:tcPr>
          <w:p>
            <w:pPr>
              <w:rPr>
                <w:kern w:val="0"/>
                <w:szCs w:val="21"/>
              </w:rPr>
            </w:pPr>
            <w:r>
              <w:rPr>
                <w:rFonts w:hint="eastAsia"/>
                <w:kern w:val="0"/>
                <w:szCs w:val="21"/>
              </w:rPr>
              <w:t>报固定折扣率，以实际发生数量结算。</w:t>
            </w:r>
          </w:p>
        </w:tc>
      </w:tr>
    </w:tbl>
    <w:p>
      <w:pPr>
        <w:spacing w:line="360" w:lineRule="auto"/>
        <w:ind w:firstLine="480" w:firstLineChars="200"/>
        <w:rPr>
          <w:rFonts w:ascii="宋体" w:hAnsi="宋体"/>
          <w:sz w:val="24"/>
        </w:rPr>
      </w:pPr>
    </w:p>
    <w:p>
      <w:pPr>
        <w:spacing w:line="360" w:lineRule="auto"/>
        <w:ind w:firstLine="480" w:firstLineChars="200"/>
        <w:rPr>
          <w:rFonts w:ascii="宋体" w:hAnsi="宋体"/>
          <w:color w:val="FF0000"/>
          <w:sz w:val="24"/>
          <w:u w:val="single"/>
        </w:rPr>
      </w:pPr>
      <w:r>
        <w:rPr>
          <w:rFonts w:ascii="宋体" w:hAnsi="宋体"/>
          <w:sz w:val="24"/>
        </w:rPr>
        <w:t>5.合同履行期限：</w:t>
      </w:r>
      <w:r>
        <w:rPr>
          <w:rFonts w:hint="eastAsia" w:ascii="宋体" w:hAnsi="宋体"/>
          <w:sz w:val="24"/>
          <w:u w:val="single"/>
        </w:rPr>
        <w:t xml:space="preserve"> 1年</w:t>
      </w:r>
      <w:r>
        <w:rPr>
          <w:rFonts w:ascii="宋体" w:hAnsi="宋体"/>
          <w:sz w:val="24"/>
        </w:rPr>
        <w:t xml:space="preserve"> </w:t>
      </w:r>
      <w:r>
        <w:rPr>
          <w:rFonts w:hint="eastAsia" w:ascii="宋体" w:hAnsi="宋体"/>
          <w:color w:val="000000" w:themeColor="text1"/>
          <w:sz w:val="24"/>
          <w14:textFill>
            <w14:solidFill>
              <w14:schemeClr w14:val="tx1"/>
            </w14:solidFill>
          </w14:textFill>
        </w:rPr>
        <w:t>。</w:t>
      </w:r>
    </w:p>
    <w:p>
      <w:pPr>
        <w:spacing w:line="360" w:lineRule="auto"/>
        <w:ind w:firstLine="480" w:firstLineChars="200"/>
      </w:pPr>
      <w:r>
        <w:rPr>
          <w:rFonts w:ascii="宋体" w:hAnsi="宋体"/>
          <w:sz w:val="24"/>
        </w:rPr>
        <w:t>6.本项目是否接受联合体</w:t>
      </w:r>
      <w:r>
        <w:rPr>
          <w:rFonts w:hint="eastAsia" w:ascii="宋体" w:hAnsi="宋体"/>
          <w:sz w:val="24"/>
        </w:rPr>
        <w:t>响应</w:t>
      </w:r>
      <w:r>
        <w:rPr>
          <w:rFonts w:ascii="宋体" w:hAnsi="宋体"/>
          <w:sz w:val="24"/>
        </w:rPr>
        <w:t xml:space="preserve">：□是  </w:t>
      </w:r>
      <w:r>
        <w:rPr>
          <w:rFonts w:hint="eastAsia" w:ascii="宋体" w:hAnsi="宋体"/>
          <w:sz w:val="24"/>
        </w:rPr>
        <w:t>■</w:t>
      </w:r>
      <w:r>
        <w:rPr>
          <w:rFonts w:ascii="宋体" w:hAnsi="宋体"/>
          <w:sz w:val="24"/>
        </w:rPr>
        <w:t>否。</w:t>
      </w:r>
    </w:p>
    <w:p>
      <w:pPr>
        <w:pStyle w:val="34"/>
        <w:ind w:firstLine="480" w:firstLineChars="200"/>
        <w:rPr>
          <w:rFonts w:cs="Times New Roman"/>
          <w:kern w:val="2"/>
        </w:rPr>
      </w:pPr>
    </w:p>
    <w:p>
      <w:pPr>
        <w:pStyle w:val="5"/>
        <w:spacing w:before="0" w:line="360" w:lineRule="auto"/>
        <w:jc w:val="left"/>
        <w:rPr>
          <w:rFonts w:ascii="宋体" w:hAnsi="宋体" w:eastAsia="宋体"/>
          <w:sz w:val="24"/>
          <w:szCs w:val="24"/>
        </w:rPr>
      </w:pPr>
      <w:bookmarkStart w:id="12" w:name="_Toc28359003"/>
      <w:bookmarkStart w:id="13" w:name="_Toc35393791"/>
      <w:bookmarkStart w:id="14" w:name="_Toc35393622"/>
      <w:bookmarkStart w:id="15" w:name="_Toc28359080"/>
      <w:r>
        <w:rPr>
          <w:rFonts w:ascii="宋体" w:hAnsi="宋体" w:eastAsia="宋体"/>
          <w:sz w:val="24"/>
          <w:szCs w:val="24"/>
        </w:rPr>
        <w:t>二、申请人的资格要求（须同时满足）</w:t>
      </w:r>
      <w:bookmarkEnd w:id="12"/>
      <w:bookmarkEnd w:id="13"/>
      <w:bookmarkEnd w:id="14"/>
      <w:bookmarkEnd w:id="15"/>
    </w:p>
    <w:p>
      <w:pPr>
        <w:spacing w:line="360" w:lineRule="auto"/>
        <w:ind w:firstLine="480" w:firstLineChars="200"/>
        <w:rPr>
          <w:rFonts w:ascii="宋体" w:hAnsi="宋体"/>
          <w:sz w:val="24"/>
        </w:rPr>
      </w:pPr>
      <w:r>
        <w:rPr>
          <w:rFonts w:ascii="宋体" w:hAnsi="宋体"/>
          <w:sz w:val="24"/>
        </w:rPr>
        <w:t>1.满足《中华人民共和国政府采购法》第二十二条规定；</w:t>
      </w:r>
    </w:p>
    <w:p>
      <w:pPr>
        <w:spacing w:line="360" w:lineRule="auto"/>
        <w:ind w:firstLine="480" w:firstLineChars="200"/>
        <w:rPr>
          <w:rFonts w:ascii="宋体" w:hAnsi="宋体"/>
          <w:color w:val="000000"/>
          <w:sz w:val="24"/>
        </w:rPr>
      </w:pPr>
      <w:bookmarkStart w:id="16" w:name="_Toc28359081"/>
      <w:bookmarkStart w:id="17" w:name="_Toc28359004"/>
      <w:r>
        <w:rPr>
          <w:rFonts w:ascii="宋体" w:hAnsi="宋体"/>
          <w:color w:val="000000"/>
          <w:sz w:val="24"/>
        </w:rPr>
        <w:t>2.落实政府采购政策需满足的资格要求：</w:t>
      </w:r>
    </w:p>
    <w:p>
      <w:pPr>
        <w:spacing w:line="360" w:lineRule="auto"/>
        <w:ind w:firstLine="480" w:firstLineChars="200"/>
        <w:rPr>
          <w:rFonts w:ascii="宋体" w:hAnsi="宋体"/>
          <w:color w:val="000000"/>
          <w:sz w:val="24"/>
        </w:rPr>
      </w:pPr>
      <w:r>
        <w:rPr>
          <w:rFonts w:ascii="宋体" w:hAnsi="宋体"/>
          <w:color w:val="000000"/>
          <w:sz w:val="24"/>
        </w:rPr>
        <w:t>2.1中小企业政策</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本项目不专门面向中小企业预留采购份额。</w:t>
      </w:r>
    </w:p>
    <w:p>
      <w:pPr>
        <w:spacing w:line="360" w:lineRule="auto"/>
        <w:ind w:firstLine="480" w:firstLineChars="200"/>
        <w:rPr>
          <w:rFonts w:ascii="宋体" w:hAnsi="宋体"/>
          <w:sz w:val="24"/>
        </w:rPr>
      </w:pPr>
      <w:r>
        <w:rPr>
          <w:rFonts w:ascii="宋体" w:hAnsi="宋体"/>
          <w:sz w:val="24"/>
        </w:rPr>
        <w:t>□本项目专门面向□中小□小微企业采购。即：提供的货物全部由符合政策要求的中小企业制造、服务全部由符合政策要求的中小企业承接。</w:t>
      </w:r>
    </w:p>
    <w:p>
      <w:pPr>
        <w:spacing w:line="360" w:lineRule="auto"/>
        <w:ind w:firstLine="480" w:firstLineChars="200"/>
        <w:rPr>
          <w:rFonts w:ascii="宋体" w:hAnsi="宋体"/>
          <w:sz w:val="24"/>
        </w:rPr>
      </w:pPr>
      <w:r>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2.2其它落实政府采购政策的资格要求：</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u w:val="single"/>
        </w:rPr>
      </w:pPr>
      <w:r>
        <w:rPr>
          <w:rFonts w:ascii="宋体" w:hAnsi="宋体"/>
          <w:sz w:val="24"/>
        </w:rPr>
        <w:t>3.本项目的特定资格要求：</w:t>
      </w:r>
    </w:p>
    <w:p>
      <w:pPr>
        <w:tabs>
          <w:tab w:val="left" w:pos="900"/>
          <w:tab w:val="left" w:pos="1134"/>
          <w:tab w:val="left" w:pos="1589"/>
          <w:tab w:val="left" w:pos="5521"/>
        </w:tabs>
        <w:snapToGrid w:val="0"/>
        <w:spacing w:line="360" w:lineRule="auto"/>
        <w:ind w:firstLine="480" w:firstLineChars="200"/>
        <w:rPr>
          <w:rFonts w:ascii="宋体" w:hAnsi="宋体"/>
          <w:sz w:val="24"/>
        </w:rPr>
      </w:pPr>
      <w:r>
        <w:rPr>
          <w:rFonts w:ascii="宋体" w:hAnsi="宋体"/>
          <w:sz w:val="24"/>
        </w:rPr>
        <w:t>3.1本项目是否接受分支机构参与</w:t>
      </w:r>
      <w:r>
        <w:rPr>
          <w:rFonts w:hint="eastAsia" w:ascii="宋体" w:hAnsi="宋体"/>
          <w:sz w:val="24"/>
        </w:rPr>
        <w:t>响应</w:t>
      </w:r>
      <w:r>
        <w:rPr>
          <w:rFonts w:ascii="宋体" w:hAnsi="宋体"/>
          <w:sz w:val="24"/>
        </w:rPr>
        <w:t xml:space="preserve">：□是  </w:t>
      </w:r>
      <w:r>
        <w:rPr>
          <w:rFonts w:ascii="宋体" w:hAnsi="宋体"/>
          <w:b/>
          <w:color w:val="000000"/>
          <w:sz w:val="24"/>
        </w:rPr>
        <w:t>■</w:t>
      </w:r>
      <w:r>
        <w:rPr>
          <w:rFonts w:ascii="宋体" w:hAnsi="宋体"/>
          <w:sz w:val="24"/>
        </w:rPr>
        <w:t>否；</w:t>
      </w:r>
    </w:p>
    <w:p>
      <w:pPr>
        <w:tabs>
          <w:tab w:val="left" w:pos="900"/>
          <w:tab w:val="left" w:pos="1134"/>
          <w:tab w:val="left" w:pos="1589"/>
          <w:tab w:val="left" w:pos="5521"/>
        </w:tabs>
        <w:snapToGrid w:val="0"/>
        <w:spacing w:line="360" w:lineRule="auto"/>
        <w:ind w:firstLine="480" w:firstLineChars="200"/>
        <w:rPr>
          <w:rFonts w:ascii="宋体" w:hAnsi="宋体"/>
          <w:sz w:val="24"/>
        </w:rPr>
      </w:pPr>
      <w:r>
        <w:rPr>
          <w:rFonts w:ascii="宋体" w:hAnsi="宋体"/>
          <w:sz w:val="24"/>
        </w:rPr>
        <w:t>3.2本项目是否属于政府购买服务：</w:t>
      </w:r>
    </w:p>
    <w:p>
      <w:pPr>
        <w:tabs>
          <w:tab w:val="left" w:pos="900"/>
          <w:tab w:val="left" w:pos="1134"/>
          <w:tab w:val="left" w:pos="1589"/>
          <w:tab w:val="left" w:pos="5521"/>
        </w:tabs>
        <w:snapToGrid w:val="0"/>
        <w:spacing w:line="360" w:lineRule="auto"/>
        <w:ind w:left="991" w:leftChars="472" w:firstLine="2"/>
        <w:rPr>
          <w:rFonts w:ascii="宋体" w:hAnsi="宋体"/>
          <w:sz w:val="24"/>
        </w:rPr>
      </w:pPr>
      <w:r>
        <w:rPr>
          <w:rFonts w:ascii="宋体" w:hAnsi="宋体"/>
          <w:b/>
          <w:color w:val="000000"/>
          <w:sz w:val="24"/>
        </w:rPr>
        <w:t>■</w:t>
      </w:r>
      <w:r>
        <w:rPr>
          <w:rFonts w:ascii="宋体" w:hAnsi="宋体"/>
          <w:sz w:val="24"/>
        </w:rPr>
        <w:t>否</w:t>
      </w:r>
    </w:p>
    <w:p>
      <w:pPr>
        <w:tabs>
          <w:tab w:val="left" w:pos="900"/>
          <w:tab w:val="left" w:pos="1134"/>
          <w:tab w:val="left" w:pos="1589"/>
          <w:tab w:val="left" w:pos="5521"/>
        </w:tabs>
        <w:snapToGrid w:val="0"/>
        <w:spacing w:line="360" w:lineRule="auto"/>
        <w:ind w:left="991" w:leftChars="472" w:firstLine="2"/>
        <w:rPr>
          <w:rFonts w:ascii="宋体" w:hAnsi="宋体"/>
          <w:sz w:val="24"/>
        </w:rPr>
      </w:pPr>
      <w:r>
        <w:rPr>
          <w:rFonts w:ascii="宋体" w:hAnsi="宋体"/>
          <w:sz w:val="24"/>
        </w:rPr>
        <w:sym w:font="Wingdings 2" w:char="00A3"/>
      </w:r>
      <w:r>
        <w:rPr>
          <w:rFonts w:ascii="宋体" w:hAnsi="宋体"/>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hint="default" w:eastAsia="宋体"/>
          <w:lang w:val="en-US" w:eastAsia="zh-CN"/>
        </w:rPr>
      </w:pPr>
      <w:r>
        <w:rPr>
          <w:rFonts w:ascii="宋体" w:hAnsi="宋体"/>
          <w:sz w:val="24"/>
        </w:rPr>
        <w:t>3.3</w:t>
      </w:r>
      <w:bookmarkStart w:id="18" w:name="_Hlk100673152"/>
      <w:r>
        <w:rPr>
          <w:rFonts w:ascii="宋体" w:hAnsi="宋体"/>
          <w:sz w:val="24"/>
        </w:rPr>
        <w:t>其他特定资格</w:t>
      </w:r>
      <w:bookmarkEnd w:id="18"/>
      <w:r>
        <w:rPr>
          <w:rFonts w:ascii="宋体" w:hAnsi="宋体"/>
          <w:sz w:val="24"/>
        </w:rPr>
        <w:t>要求：</w:t>
      </w:r>
      <w:r>
        <w:rPr>
          <w:rFonts w:hint="eastAsia"/>
          <w:sz w:val="24"/>
          <w:u w:val="single"/>
        </w:rPr>
        <w:t xml:space="preserve"> </w:t>
      </w:r>
      <w:r>
        <w:rPr>
          <w:rFonts w:hint="eastAsia"/>
          <w:sz w:val="24"/>
          <w:u w:val="single"/>
          <w:lang w:val="en-US" w:eastAsia="zh-CN"/>
        </w:rPr>
        <w:t xml:space="preserve">  无   </w:t>
      </w:r>
    </w:p>
    <w:bookmarkEnd w:id="16"/>
    <w:bookmarkEnd w:id="17"/>
    <w:p>
      <w:pPr>
        <w:pStyle w:val="5"/>
        <w:widowControl/>
        <w:spacing w:before="0" w:line="360" w:lineRule="auto"/>
        <w:jc w:val="left"/>
        <w:rPr>
          <w:rFonts w:ascii="宋体" w:hAnsi="宋体" w:eastAsia="宋体"/>
          <w:sz w:val="24"/>
          <w:szCs w:val="24"/>
        </w:rPr>
      </w:pPr>
      <w:bookmarkStart w:id="19" w:name="_Toc35393623"/>
      <w:bookmarkStart w:id="20" w:name="_Toc35393792"/>
      <w:r>
        <w:rPr>
          <w:rFonts w:ascii="宋体" w:hAnsi="宋体" w:eastAsia="宋体"/>
          <w:sz w:val="24"/>
          <w:szCs w:val="24"/>
        </w:rPr>
        <w:t>三、获取</w:t>
      </w:r>
      <w:bookmarkEnd w:id="19"/>
      <w:bookmarkEnd w:id="20"/>
      <w:r>
        <w:rPr>
          <w:rFonts w:hint="eastAsia" w:ascii="宋体" w:hAnsi="宋体" w:eastAsia="宋体"/>
          <w:sz w:val="24"/>
          <w:szCs w:val="24"/>
        </w:rPr>
        <w:t>比选文件</w:t>
      </w:r>
    </w:p>
    <w:p>
      <w:pPr>
        <w:adjustRightInd w:val="0"/>
        <w:snapToGrid w:val="0"/>
        <w:spacing w:line="360" w:lineRule="auto"/>
        <w:ind w:firstLine="480" w:firstLineChars="200"/>
        <w:rPr>
          <w:rFonts w:ascii="宋体" w:hAnsi="宋体"/>
          <w:sz w:val="24"/>
          <w:lang w:bidi="ar"/>
        </w:rPr>
      </w:pPr>
      <w:r>
        <w:rPr>
          <w:rFonts w:ascii="宋体" w:hAnsi="宋体"/>
          <w:sz w:val="24"/>
          <w:lang w:bidi="ar"/>
        </w:rPr>
        <w:t>1.时间：</w:t>
      </w:r>
      <w:r>
        <w:rPr>
          <w:rFonts w:hint="eastAsia" w:ascii="宋体" w:hAnsi="宋体"/>
          <w:sz w:val="24"/>
          <w:u w:val="single"/>
          <w:lang w:bidi="ar"/>
        </w:rPr>
        <w:t>2023</w:t>
      </w:r>
      <w:r>
        <w:rPr>
          <w:rFonts w:ascii="宋体" w:hAnsi="宋体"/>
          <w:sz w:val="24"/>
          <w:lang w:bidi="ar"/>
        </w:rPr>
        <w:t>年</w:t>
      </w:r>
      <w:r>
        <w:rPr>
          <w:rFonts w:hint="eastAsia" w:ascii="宋体" w:hAnsi="宋体"/>
          <w:sz w:val="24"/>
          <w:u w:val="single"/>
          <w:lang w:bidi="ar"/>
        </w:rPr>
        <w:t xml:space="preserve">  </w:t>
      </w:r>
      <w:r>
        <w:rPr>
          <w:rFonts w:hint="eastAsia" w:ascii="宋体" w:hAnsi="宋体"/>
          <w:sz w:val="24"/>
          <w:u w:val="single"/>
          <w:lang w:val="en-US" w:eastAsia="zh-CN" w:bidi="ar"/>
        </w:rPr>
        <w:t>4</w:t>
      </w:r>
      <w:r>
        <w:rPr>
          <w:rFonts w:hint="eastAsia" w:ascii="宋体" w:hAnsi="宋体"/>
          <w:sz w:val="24"/>
          <w:u w:val="single"/>
          <w:lang w:bidi="ar"/>
        </w:rPr>
        <w:t xml:space="preserve">  </w:t>
      </w:r>
      <w:r>
        <w:rPr>
          <w:rFonts w:ascii="宋体" w:hAnsi="宋体"/>
          <w:sz w:val="24"/>
          <w:lang w:bidi="ar"/>
        </w:rPr>
        <w:t>月</w:t>
      </w:r>
      <w:r>
        <w:rPr>
          <w:rFonts w:hint="eastAsia" w:ascii="宋体" w:hAnsi="宋体"/>
          <w:sz w:val="24"/>
          <w:u w:val="single"/>
          <w:lang w:bidi="ar"/>
        </w:rPr>
        <w:t xml:space="preserve">  </w:t>
      </w:r>
      <w:r>
        <w:rPr>
          <w:rFonts w:hint="eastAsia" w:ascii="宋体" w:hAnsi="宋体"/>
          <w:sz w:val="24"/>
          <w:u w:val="single"/>
          <w:lang w:val="en-US" w:eastAsia="zh-CN" w:bidi="ar"/>
        </w:rPr>
        <w:t>27</w:t>
      </w:r>
      <w:r>
        <w:rPr>
          <w:rFonts w:hint="eastAsia" w:ascii="宋体" w:hAnsi="宋体"/>
          <w:sz w:val="24"/>
          <w:u w:val="single"/>
          <w:lang w:bidi="ar"/>
        </w:rPr>
        <w:t xml:space="preserve">  </w:t>
      </w:r>
      <w:r>
        <w:rPr>
          <w:rFonts w:ascii="宋体" w:hAnsi="宋体"/>
          <w:sz w:val="24"/>
          <w:lang w:bidi="ar"/>
        </w:rPr>
        <w:t>日至</w:t>
      </w:r>
      <w:r>
        <w:rPr>
          <w:rFonts w:hint="eastAsia" w:ascii="宋体" w:hAnsi="宋体"/>
          <w:sz w:val="24"/>
          <w:u w:val="single"/>
          <w:lang w:bidi="ar"/>
        </w:rPr>
        <w:t>2023</w:t>
      </w:r>
      <w:r>
        <w:rPr>
          <w:rFonts w:ascii="宋体" w:hAnsi="宋体"/>
          <w:sz w:val="24"/>
          <w:lang w:bidi="ar"/>
        </w:rPr>
        <w:t>年</w:t>
      </w:r>
      <w:r>
        <w:rPr>
          <w:rFonts w:hint="eastAsia" w:ascii="宋体" w:hAnsi="宋体"/>
          <w:sz w:val="24"/>
          <w:u w:val="single"/>
          <w:lang w:bidi="ar"/>
        </w:rPr>
        <w:t xml:space="preserve">  </w:t>
      </w:r>
      <w:r>
        <w:rPr>
          <w:rFonts w:hint="eastAsia" w:ascii="宋体" w:hAnsi="宋体"/>
          <w:sz w:val="24"/>
          <w:u w:val="single"/>
          <w:lang w:val="en-US" w:eastAsia="zh-CN" w:bidi="ar"/>
        </w:rPr>
        <w:t>5</w:t>
      </w:r>
      <w:r>
        <w:rPr>
          <w:rFonts w:hint="eastAsia" w:ascii="宋体" w:hAnsi="宋体"/>
          <w:sz w:val="24"/>
          <w:u w:val="single"/>
          <w:lang w:bidi="ar"/>
        </w:rPr>
        <w:t xml:space="preserve">  </w:t>
      </w:r>
      <w:r>
        <w:rPr>
          <w:rFonts w:hint="eastAsia" w:ascii="宋体" w:hAnsi="宋体"/>
          <w:sz w:val="24"/>
          <w:lang w:bidi="ar"/>
        </w:rPr>
        <w:t xml:space="preserve"> </w:t>
      </w:r>
      <w:r>
        <w:rPr>
          <w:rFonts w:ascii="宋体" w:hAnsi="宋体"/>
          <w:sz w:val="24"/>
          <w:lang w:bidi="ar"/>
        </w:rPr>
        <w:t>月</w:t>
      </w:r>
      <w:r>
        <w:rPr>
          <w:rFonts w:hint="eastAsia" w:ascii="宋体" w:hAnsi="宋体"/>
          <w:sz w:val="24"/>
          <w:u w:val="single"/>
          <w:lang w:bidi="ar"/>
        </w:rPr>
        <w:t xml:space="preserve"> </w:t>
      </w:r>
      <w:r>
        <w:rPr>
          <w:rFonts w:hint="eastAsia" w:ascii="宋体" w:hAnsi="宋体"/>
          <w:sz w:val="24"/>
          <w:u w:val="single"/>
          <w:lang w:val="en-US" w:eastAsia="zh-CN" w:bidi="ar"/>
        </w:rPr>
        <w:t xml:space="preserve"> 5</w:t>
      </w:r>
      <w:r>
        <w:rPr>
          <w:rFonts w:hint="eastAsia" w:ascii="宋体" w:hAnsi="宋体"/>
          <w:sz w:val="24"/>
          <w:u w:val="single"/>
          <w:lang w:bidi="ar"/>
        </w:rPr>
        <w:t xml:space="preserve">  </w:t>
      </w:r>
      <w:r>
        <w:rPr>
          <w:rFonts w:ascii="宋体" w:hAnsi="宋体"/>
          <w:sz w:val="24"/>
          <w:lang w:bidi="ar"/>
        </w:rPr>
        <w:t>日，</w:t>
      </w:r>
      <w:r>
        <w:rPr>
          <w:rFonts w:hint="eastAsia" w:ascii="宋体" w:hAnsi="宋体"/>
          <w:sz w:val="24"/>
          <w:lang w:bidi="ar"/>
        </w:rPr>
        <w:t>每天上午9时00分至11时30分，下午13时00分至17时00分（北京时间，法定节假日除外）。</w:t>
      </w:r>
    </w:p>
    <w:p>
      <w:pPr>
        <w:adjustRightInd w:val="0"/>
        <w:snapToGrid w:val="0"/>
        <w:spacing w:line="360" w:lineRule="auto"/>
        <w:ind w:firstLine="480" w:firstLineChars="200"/>
        <w:rPr>
          <w:rFonts w:ascii="宋体" w:hAnsi="宋体"/>
          <w:sz w:val="24"/>
          <w:lang w:bidi="ar"/>
        </w:rPr>
      </w:pPr>
      <w:r>
        <w:rPr>
          <w:rFonts w:ascii="宋体" w:hAnsi="宋体"/>
          <w:sz w:val="24"/>
          <w:lang w:bidi="ar"/>
        </w:rPr>
        <w:t>2.地点：</w:t>
      </w:r>
      <w:r>
        <w:rPr>
          <w:rFonts w:hint="eastAsia"/>
          <w:sz w:val="24"/>
          <w:lang w:bidi="ar"/>
        </w:rPr>
        <w:t>北京明德致信咨询有限公司官网（http://www.zbbmcc.com）。</w:t>
      </w:r>
    </w:p>
    <w:p>
      <w:pPr>
        <w:widowControl/>
        <w:spacing w:line="360" w:lineRule="auto"/>
        <w:ind w:firstLine="566" w:firstLineChars="236"/>
        <w:jc w:val="left"/>
        <w:rPr>
          <w:rFonts w:ascii="宋体" w:hAnsi="宋体"/>
          <w:sz w:val="24"/>
          <w:lang w:bidi="ar"/>
        </w:rPr>
      </w:pPr>
      <w:r>
        <w:rPr>
          <w:rFonts w:ascii="宋体" w:hAnsi="宋体"/>
          <w:sz w:val="24"/>
          <w:lang w:bidi="ar"/>
        </w:rPr>
        <w:t>3.方式：</w:t>
      </w:r>
    </w:p>
    <w:p>
      <w:pPr>
        <w:adjustRightInd w:val="0"/>
        <w:snapToGrid w:val="0"/>
        <w:spacing w:line="360" w:lineRule="auto"/>
        <w:ind w:firstLine="480" w:firstLineChars="200"/>
        <w:rPr>
          <w:rFonts w:ascii="宋体" w:hAnsi="宋体"/>
          <w:sz w:val="24"/>
          <w:lang w:bidi="ar"/>
        </w:rPr>
      </w:pPr>
      <w:r>
        <w:rPr>
          <w:rFonts w:hint="eastAsia" w:ascii="宋体" w:hAnsi="宋体"/>
          <w:sz w:val="24"/>
          <w:lang w:bidi="ar"/>
        </w:rPr>
        <w:t>（1）电汇或网银。请投标人汇款时务必注明“标号+用途”（比如：ZC23-0179标书款），以便财务查账及汇总。</w:t>
      </w:r>
    </w:p>
    <w:p>
      <w:pPr>
        <w:adjustRightInd w:val="0"/>
        <w:snapToGrid w:val="0"/>
        <w:spacing w:line="360" w:lineRule="auto"/>
        <w:ind w:firstLine="480" w:firstLineChars="200"/>
        <w:rPr>
          <w:rFonts w:ascii="宋体" w:hAnsi="宋体"/>
          <w:sz w:val="24"/>
          <w:lang w:bidi="ar"/>
        </w:rPr>
      </w:pPr>
      <w:r>
        <w:rPr>
          <w:rFonts w:hint="eastAsia" w:ascii="宋体" w:hAnsi="宋体"/>
          <w:sz w:val="24"/>
          <w:lang w:bidi="ar"/>
        </w:rPr>
        <w:t>（2）供应商转账完成后，须登录北京明德致信咨询有限公司官网（http://www.zbbmcc.com）点击右上角“项目报名”频道选择本项目编号“BMCC-ZC23-0179”完整填写报名信息并上传报名费转账凭证提交报名资料（如招标文件要求提供其他报名材料，须一并上传，未明确要求的默认不需要），报名审核结果会在1个工作日内以短信形式发送至报名联系人手机，请留意查收。超过1个工作日未收到审核结果通知，可拨打010-82370045进行咨询。</w:t>
      </w:r>
    </w:p>
    <w:p>
      <w:pPr>
        <w:adjustRightInd w:val="0"/>
        <w:snapToGrid w:val="0"/>
        <w:spacing w:line="360" w:lineRule="auto"/>
        <w:ind w:firstLine="480" w:firstLineChars="200"/>
        <w:rPr>
          <w:rFonts w:ascii="宋体" w:hAnsi="宋体"/>
          <w:sz w:val="24"/>
          <w:lang w:bidi="ar"/>
        </w:rPr>
      </w:pPr>
      <w:r>
        <w:rPr>
          <w:rFonts w:hint="eastAsia" w:ascii="宋体" w:hAnsi="宋体"/>
          <w:sz w:val="24"/>
          <w:lang w:bidi="ar"/>
        </w:rPr>
        <w:t xml:space="preserve">（3）采购文件请自行下载，请点击：明德致信公司网站“招标（采购）公告”频道：http://www.zbbmcc.com/node/119，无需注册。按项目名称或编号查找对应项目，点击标题下红色“下载”按钮即可。  </w:t>
      </w:r>
    </w:p>
    <w:p>
      <w:pPr>
        <w:widowControl/>
        <w:spacing w:line="360" w:lineRule="auto"/>
        <w:ind w:firstLine="566" w:firstLineChars="236"/>
        <w:jc w:val="left"/>
        <w:rPr>
          <w:rFonts w:ascii="宋体" w:hAnsi="宋体" w:cs="宋体"/>
          <w:kern w:val="0"/>
          <w:sz w:val="24"/>
        </w:rPr>
      </w:pPr>
      <w:r>
        <w:rPr>
          <w:rFonts w:hint="eastAsia" w:ascii="宋体" w:hAnsi="宋体" w:cs="宋体"/>
          <w:kern w:val="0"/>
          <w:sz w:val="24"/>
        </w:rPr>
        <w:t>账户名称：北京明德致信咨询有限公司</w:t>
      </w:r>
    </w:p>
    <w:p>
      <w:pPr>
        <w:spacing w:line="360" w:lineRule="auto"/>
        <w:ind w:left="495" w:firstLine="72" w:firstLineChars="30"/>
        <w:rPr>
          <w:rFonts w:ascii="宋体" w:hAnsi="宋体" w:cs="宋体"/>
          <w:kern w:val="0"/>
          <w:sz w:val="24"/>
        </w:rPr>
      </w:pPr>
      <w:r>
        <w:rPr>
          <w:rFonts w:hint="eastAsia" w:ascii="宋体" w:hAnsi="宋体" w:cs="宋体"/>
          <w:kern w:val="0"/>
          <w:sz w:val="24"/>
        </w:rPr>
        <w:t>开</w:t>
      </w:r>
      <w:r>
        <w:rPr>
          <w:rFonts w:ascii="宋体" w:hAnsi="宋体" w:cs="宋体"/>
          <w:kern w:val="0"/>
          <w:sz w:val="24"/>
        </w:rPr>
        <w:t xml:space="preserve"> 户 行：中国工商银行股份有限公司北京东升路支行</w:t>
      </w:r>
    </w:p>
    <w:p>
      <w:pPr>
        <w:spacing w:line="360" w:lineRule="auto"/>
        <w:ind w:left="495" w:firstLine="72" w:firstLineChars="30"/>
        <w:rPr>
          <w:rFonts w:ascii="宋体" w:hAnsi="宋体" w:cs="宋体"/>
          <w:kern w:val="0"/>
          <w:sz w:val="24"/>
        </w:rPr>
      </w:pPr>
      <w:r>
        <w:rPr>
          <w:rFonts w:hint="eastAsia" w:ascii="宋体" w:hAnsi="宋体" w:cs="宋体"/>
          <w:kern w:val="0"/>
          <w:sz w:val="24"/>
        </w:rPr>
        <w:t>账</w:t>
      </w:r>
      <w:r>
        <w:rPr>
          <w:rFonts w:ascii="宋体" w:hAnsi="宋体" w:cs="宋体"/>
          <w:kern w:val="0"/>
          <w:sz w:val="24"/>
        </w:rPr>
        <w:t xml:space="preserve">    号：0200 0062 1920 0492 968</w:t>
      </w:r>
    </w:p>
    <w:p>
      <w:pPr>
        <w:widowControl/>
        <w:adjustRightInd w:val="0"/>
        <w:snapToGrid w:val="0"/>
        <w:spacing w:line="360" w:lineRule="auto"/>
        <w:ind w:firstLine="480" w:firstLineChars="200"/>
        <w:jc w:val="left"/>
        <w:rPr>
          <w:rFonts w:ascii="宋体" w:hAnsi="宋体"/>
          <w:sz w:val="24"/>
        </w:rPr>
      </w:pPr>
      <w:r>
        <w:rPr>
          <w:rFonts w:ascii="宋体" w:hAnsi="宋体"/>
          <w:sz w:val="24"/>
          <w:lang w:bidi="ar"/>
        </w:rPr>
        <w:t>4.售价：</w:t>
      </w:r>
      <w:r>
        <w:rPr>
          <w:rFonts w:hint="eastAsia" w:ascii="宋体" w:hAnsi="宋体"/>
          <w:sz w:val="24"/>
          <w:lang w:bidi="ar"/>
        </w:rPr>
        <w:t>人民币500元/包（售后不退）。</w:t>
      </w:r>
    </w:p>
    <w:p>
      <w:pPr>
        <w:pStyle w:val="5"/>
        <w:widowControl/>
        <w:spacing w:before="0" w:line="360" w:lineRule="auto"/>
        <w:jc w:val="left"/>
        <w:rPr>
          <w:rFonts w:ascii="宋体" w:hAnsi="宋体" w:eastAsia="宋体"/>
          <w:sz w:val="24"/>
          <w:szCs w:val="24"/>
        </w:rPr>
      </w:pPr>
      <w:bookmarkStart w:id="21" w:name="_Toc28359082"/>
      <w:bookmarkStart w:id="22" w:name="_Toc28359005"/>
      <w:bookmarkStart w:id="23" w:name="_Toc35393793"/>
      <w:bookmarkStart w:id="24" w:name="_Toc35393624"/>
      <w:r>
        <w:rPr>
          <w:rFonts w:ascii="宋体" w:hAnsi="宋体" w:eastAsia="宋体"/>
          <w:sz w:val="24"/>
          <w:szCs w:val="24"/>
        </w:rPr>
        <w:t>四、提交</w:t>
      </w:r>
      <w:bookmarkEnd w:id="21"/>
      <w:bookmarkEnd w:id="22"/>
      <w:r>
        <w:rPr>
          <w:rFonts w:hint="eastAsia" w:ascii="宋体" w:hAnsi="宋体" w:eastAsia="宋体"/>
          <w:sz w:val="24"/>
          <w:szCs w:val="24"/>
        </w:rPr>
        <w:t>响应文件</w:t>
      </w:r>
      <w:r>
        <w:rPr>
          <w:rFonts w:ascii="宋体" w:hAnsi="宋体" w:eastAsia="宋体"/>
          <w:sz w:val="24"/>
          <w:szCs w:val="24"/>
        </w:rPr>
        <w:t>截止时间、</w:t>
      </w:r>
      <w:r>
        <w:rPr>
          <w:rFonts w:hint="eastAsia" w:ascii="宋体" w:hAnsi="宋体" w:eastAsia="宋体"/>
          <w:sz w:val="24"/>
          <w:szCs w:val="24"/>
        </w:rPr>
        <w:t>开选</w:t>
      </w:r>
      <w:r>
        <w:rPr>
          <w:rFonts w:ascii="宋体" w:hAnsi="宋体" w:eastAsia="宋体"/>
          <w:sz w:val="24"/>
          <w:szCs w:val="24"/>
        </w:rPr>
        <w:t>时间和地点</w:t>
      </w:r>
      <w:bookmarkEnd w:id="23"/>
      <w:bookmarkEnd w:id="24"/>
    </w:p>
    <w:p>
      <w:pPr>
        <w:spacing w:line="360" w:lineRule="auto"/>
        <w:ind w:firstLine="480" w:firstLineChars="200"/>
        <w:rPr>
          <w:rFonts w:ascii="宋体" w:hAnsi="宋体"/>
          <w:bCs/>
          <w:sz w:val="24"/>
          <w:u w:val="single"/>
        </w:rPr>
      </w:pPr>
      <w:r>
        <w:rPr>
          <w:rFonts w:hint="eastAsia" w:ascii="宋体" w:hAnsi="宋体"/>
          <w:sz w:val="24"/>
          <w:lang w:bidi="ar"/>
        </w:rPr>
        <w:t>响应文件提交</w:t>
      </w:r>
      <w:r>
        <w:rPr>
          <w:rFonts w:ascii="宋体" w:hAnsi="宋体"/>
          <w:sz w:val="24"/>
          <w:lang w:bidi="ar"/>
        </w:rPr>
        <w:t>截止时间、</w:t>
      </w:r>
      <w:r>
        <w:rPr>
          <w:rFonts w:hint="eastAsia" w:ascii="宋体" w:hAnsi="宋体"/>
          <w:sz w:val="24"/>
          <w:lang w:bidi="ar"/>
        </w:rPr>
        <w:t>开选</w:t>
      </w:r>
      <w:r>
        <w:rPr>
          <w:rFonts w:ascii="宋体" w:hAnsi="宋体"/>
          <w:sz w:val="24"/>
          <w:lang w:bidi="ar"/>
        </w:rPr>
        <w:t>时间：</w:t>
      </w:r>
      <w:r>
        <w:rPr>
          <w:rFonts w:hint="eastAsia" w:ascii="宋体" w:hAnsi="宋体"/>
          <w:sz w:val="24"/>
          <w:u w:val="single"/>
          <w:lang w:bidi="ar"/>
        </w:rPr>
        <w:t>2023</w:t>
      </w:r>
      <w:r>
        <w:rPr>
          <w:rFonts w:ascii="宋体" w:hAnsi="宋体"/>
          <w:sz w:val="24"/>
          <w:lang w:bidi="ar"/>
        </w:rPr>
        <w:t>年</w:t>
      </w:r>
      <w:r>
        <w:rPr>
          <w:rFonts w:hint="eastAsia" w:ascii="宋体" w:hAnsi="宋体"/>
          <w:sz w:val="24"/>
          <w:u w:val="single"/>
          <w:lang w:bidi="ar"/>
        </w:rPr>
        <w:t xml:space="preserve"> </w:t>
      </w:r>
      <w:r>
        <w:rPr>
          <w:rFonts w:hint="eastAsia" w:ascii="宋体" w:hAnsi="宋体"/>
          <w:sz w:val="24"/>
          <w:u w:val="single"/>
          <w:lang w:val="en-US" w:eastAsia="zh-CN" w:bidi="ar"/>
        </w:rPr>
        <w:t>5</w:t>
      </w:r>
      <w:r>
        <w:rPr>
          <w:rFonts w:hint="eastAsia" w:ascii="宋体" w:hAnsi="宋体"/>
          <w:sz w:val="24"/>
          <w:u w:val="single"/>
          <w:lang w:bidi="ar"/>
        </w:rPr>
        <w:t xml:space="preserve"> </w:t>
      </w:r>
      <w:r>
        <w:rPr>
          <w:rFonts w:ascii="宋体" w:hAnsi="宋体"/>
          <w:sz w:val="24"/>
          <w:lang w:bidi="ar"/>
        </w:rPr>
        <w:t>月</w:t>
      </w:r>
      <w:r>
        <w:rPr>
          <w:rFonts w:hint="eastAsia" w:ascii="宋体" w:hAnsi="宋体"/>
          <w:sz w:val="24"/>
          <w:u w:val="single"/>
          <w:lang w:bidi="ar"/>
        </w:rPr>
        <w:t xml:space="preserve">  </w:t>
      </w:r>
      <w:r>
        <w:rPr>
          <w:rFonts w:hint="eastAsia" w:ascii="宋体" w:hAnsi="宋体"/>
          <w:sz w:val="24"/>
          <w:u w:val="single"/>
          <w:lang w:val="en-US" w:eastAsia="zh-CN" w:bidi="ar"/>
        </w:rPr>
        <w:t>10</w:t>
      </w:r>
      <w:r>
        <w:rPr>
          <w:rFonts w:hint="eastAsia" w:ascii="宋体" w:hAnsi="宋体"/>
          <w:sz w:val="24"/>
          <w:u w:val="single"/>
          <w:lang w:bidi="ar"/>
        </w:rPr>
        <w:t xml:space="preserve">  </w:t>
      </w:r>
      <w:r>
        <w:rPr>
          <w:rFonts w:ascii="宋体" w:hAnsi="宋体"/>
          <w:sz w:val="24"/>
          <w:lang w:bidi="ar"/>
        </w:rPr>
        <w:t>日</w:t>
      </w:r>
      <w:r>
        <w:rPr>
          <w:rFonts w:hint="eastAsia" w:ascii="宋体" w:hAnsi="宋体"/>
          <w:sz w:val="24"/>
          <w:lang w:bidi="ar"/>
        </w:rPr>
        <w:t xml:space="preserve"> </w:t>
      </w:r>
      <w:r>
        <w:rPr>
          <w:rFonts w:hint="eastAsia" w:ascii="宋体" w:hAnsi="宋体"/>
          <w:sz w:val="24"/>
          <w:u w:val="single"/>
          <w:lang w:val="en-US" w:eastAsia="zh-CN" w:bidi="ar"/>
        </w:rPr>
        <w:t>14</w:t>
      </w:r>
      <w:r>
        <w:rPr>
          <w:rFonts w:ascii="宋体" w:hAnsi="宋体"/>
          <w:sz w:val="24"/>
          <w:lang w:bidi="ar"/>
        </w:rPr>
        <w:t>点</w:t>
      </w:r>
      <w:r>
        <w:rPr>
          <w:rFonts w:hint="eastAsia" w:ascii="宋体" w:hAnsi="宋体"/>
          <w:sz w:val="24"/>
          <w:u w:val="single"/>
          <w:lang w:val="en-US" w:eastAsia="zh-CN" w:bidi="ar"/>
        </w:rPr>
        <w:t>0</w:t>
      </w:r>
      <w:r>
        <w:rPr>
          <w:rFonts w:hint="eastAsia" w:ascii="宋体" w:hAnsi="宋体"/>
          <w:sz w:val="24"/>
          <w:u w:val="single"/>
          <w:lang w:bidi="ar"/>
        </w:rPr>
        <w:t>0</w:t>
      </w:r>
      <w:r>
        <w:rPr>
          <w:rFonts w:ascii="宋体" w:hAnsi="宋体"/>
          <w:sz w:val="24"/>
          <w:lang w:bidi="ar"/>
        </w:rPr>
        <w:t>分</w:t>
      </w:r>
      <w:r>
        <w:rPr>
          <w:rFonts w:ascii="宋体" w:hAnsi="宋体"/>
          <w:bCs/>
          <w:sz w:val="24"/>
          <w:lang w:bidi="ar"/>
        </w:rPr>
        <w:t>（北京时间）</w:t>
      </w:r>
      <w:r>
        <w:rPr>
          <w:rFonts w:ascii="宋体" w:hAnsi="宋体"/>
          <w:iCs/>
          <w:sz w:val="24"/>
          <w:lang w:bidi="ar"/>
        </w:rPr>
        <w:t>。</w:t>
      </w:r>
    </w:p>
    <w:p>
      <w:pPr>
        <w:spacing w:line="360" w:lineRule="auto"/>
        <w:ind w:firstLine="480" w:firstLineChars="200"/>
        <w:rPr>
          <w:rFonts w:ascii="宋体" w:hAnsi="宋体"/>
          <w:sz w:val="24"/>
          <w:lang w:val="zh-TW" w:bidi="ar"/>
        </w:rPr>
      </w:pPr>
      <w:r>
        <w:rPr>
          <w:rFonts w:ascii="宋体" w:hAnsi="宋体"/>
          <w:sz w:val="24"/>
          <w:lang w:bidi="ar"/>
        </w:rPr>
        <w:t>地点：</w:t>
      </w:r>
      <w:r>
        <w:rPr>
          <w:rFonts w:hint="eastAsia"/>
          <w:sz w:val="24"/>
          <w:u w:val="single"/>
        </w:rPr>
        <w:t xml:space="preserve">北京市海淀区学院路30号科大天工大厦B座17层1706第 </w:t>
      </w:r>
      <w:r>
        <w:rPr>
          <w:rFonts w:hint="eastAsia"/>
          <w:sz w:val="24"/>
          <w:u w:val="single"/>
          <w:lang w:val="en-US" w:eastAsia="zh-CN"/>
        </w:rPr>
        <w:t>四</w:t>
      </w:r>
      <w:r>
        <w:rPr>
          <w:rFonts w:hint="eastAsia"/>
          <w:sz w:val="24"/>
          <w:u w:val="single"/>
        </w:rPr>
        <w:t xml:space="preserve"> 会议室（提示：楼层较高，请供应商预留递交文件时间提前到场）</w:t>
      </w:r>
      <w:r>
        <w:rPr>
          <w:rFonts w:hint="eastAsia"/>
          <w:sz w:val="24"/>
        </w:rPr>
        <w:t>。</w:t>
      </w:r>
    </w:p>
    <w:p>
      <w:pPr>
        <w:pStyle w:val="5"/>
        <w:spacing w:before="0" w:line="360" w:lineRule="auto"/>
        <w:jc w:val="left"/>
        <w:rPr>
          <w:rFonts w:ascii="宋体" w:hAnsi="宋体" w:eastAsia="宋体"/>
          <w:sz w:val="24"/>
          <w:szCs w:val="24"/>
        </w:rPr>
      </w:pPr>
      <w:bookmarkStart w:id="25" w:name="_Toc35393794"/>
      <w:bookmarkStart w:id="26" w:name="_Toc28359084"/>
      <w:bookmarkStart w:id="27" w:name="_Toc35393625"/>
      <w:bookmarkStart w:id="28" w:name="_Toc28359007"/>
      <w:r>
        <w:rPr>
          <w:rFonts w:ascii="宋体" w:hAnsi="宋体" w:eastAsia="宋体"/>
          <w:sz w:val="24"/>
          <w:szCs w:val="24"/>
        </w:rPr>
        <w:t>五、公告期限</w:t>
      </w:r>
      <w:bookmarkEnd w:id="25"/>
      <w:bookmarkEnd w:id="26"/>
      <w:bookmarkEnd w:id="27"/>
      <w:bookmarkEnd w:id="28"/>
    </w:p>
    <w:p>
      <w:pPr>
        <w:spacing w:line="360" w:lineRule="auto"/>
        <w:ind w:firstLine="480" w:firstLineChars="200"/>
        <w:rPr>
          <w:rFonts w:ascii="宋体" w:hAnsi="宋体"/>
          <w:kern w:val="0"/>
          <w:sz w:val="24"/>
        </w:rPr>
      </w:pPr>
      <w:r>
        <w:rPr>
          <w:rFonts w:ascii="宋体" w:hAnsi="宋体"/>
          <w:kern w:val="0"/>
          <w:sz w:val="24"/>
        </w:rPr>
        <w:t>自本公告发布之日起</w:t>
      </w:r>
      <w:r>
        <w:rPr>
          <w:rFonts w:hint="eastAsia" w:ascii="宋体" w:hAnsi="宋体"/>
          <w:kern w:val="0"/>
          <w:sz w:val="24"/>
        </w:rPr>
        <w:t>3</w:t>
      </w:r>
      <w:r>
        <w:rPr>
          <w:rFonts w:ascii="宋体" w:hAnsi="宋体"/>
          <w:kern w:val="0"/>
          <w:sz w:val="24"/>
        </w:rPr>
        <w:t>个工作日。</w:t>
      </w:r>
    </w:p>
    <w:p>
      <w:pPr>
        <w:pStyle w:val="5"/>
        <w:spacing w:before="0" w:line="360" w:lineRule="auto"/>
        <w:jc w:val="left"/>
        <w:rPr>
          <w:rFonts w:ascii="宋体" w:hAnsi="宋体" w:eastAsia="宋体"/>
          <w:sz w:val="24"/>
          <w:szCs w:val="24"/>
        </w:rPr>
      </w:pPr>
      <w:bookmarkStart w:id="29" w:name="_Toc35393795"/>
      <w:bookmarkStart w:id="30" w:name="_Toc35393626"/>
      <w:r>
        <w:rPr>
          <w:rFonts w:ascii="宋体" w:hAnsi="宋体" w:eastAsia="宋体"/>
          <w:sz w:val="24"/>
          <w:szCs w:val="24"/>
        </w:rPr>
        <w:t>六、其他补充事宜</w:t>
      </w:r>
      <w:bookmarkEnd w:id="29"/>
      <w:bookmarkEnd w:id="30"/>
    </w:p>
    <w:p>
      <w:pPr>
        <w:spacing w:line="360" w:lineRule="auto"/>
        <w:ind w:firstLine="480" w:firstLineChars="200"/>
        <w:rPr>
          <w:rFonts w:ascii="宋体" w:hAnsi="宋体"/>
          <w:sz w:val="24"/>
        </w:rPr>
      </w:pPr>
      <w:r>
        <w:rPr>
          <w:rFonts w:ascii="宋体" w:hAnsi="宋体"/>
          <w:sz w:val="24"/>
        </w:rPr>
        <w:t>1.本项目需要落实的政府采购政策：</w:t>
      </w:r>
      <w:r>
        <w:rPr>
          <w:rFonts w:hint="eastAsia" w:ascii="宋体" w:hAnsi="宋体"/>
          <w:sz w:val="24"/>
          <w:u w:val="single"/>
          <w:lang w:bidi="ar"/>
        </w:rPr>
        <w:t>如促进中小企业、监狱企业、残疾人福利性单位发展、优先采购节能产品、环境标志产品等</w:t>
      </w:r>
      <w:r>
        <w:rPr>
          <w:rFonts w:hint="eastAsia" w:ascii="宋体" w:hAnsi="宋体"/>
          <w:sz w:val="24"/>
          <w:lang w:bidi="ar"/>
        </w:rPr>
        <w:t>。</w:t>
      </w:r>
    </w:p>
    <w:p>
      <w:pPr>
        <w:spacing w:line="360" w:lineRule="auto"/>
        <w:ind w:firstLine="480" w:firstLineChars="200"/>
        <w:rPr>
          <w:rFonts w:ascii="宋体" w:hAnsi="宋体"/>
          <w:sz w:val="24"/>
        </w:rPr>
      </w:pPr>
      <w:r>
        <w:rPr>
          <w:rFonts w:hint="eastAsia" w:ascii="宋体" w:hAnsi="宋体"/>
          <w:sz w:val="24"/>
        </w:rPr>
        <w:t>2.发布公告的媒介：本公告在首都师范大学校园网发布。</w:t>
      </w:r>
    </w:p>
    <w:p>
      <w:pPr>
        <w:spacing w:line="360" w:lineRule="auto"/>
        <w:ind w:firstLine="480" w:firstLineChars="200"/>
        <w:rPr>
          <w:rFonts w:ascii="宋体" w:hAnsi="宋体"/>
          <w:sz w:val="24"/>
        </w:rPr>
      </w:pPr>
      <w:r>
        <w:rPr>
          <w:rFonts w:hint="eastAsia" w:ascii="宋体" w:hAnsi="宋体"/>
          <w:sz w:val="24"/>
        </w:rPr>
        <w:t>3.响应文件请于开选当日（响应文件提交截止时间之前）递交至开选地点，逾期递交的文件恕不接受。届时请供应商派代表参加开选仪式。参与开选仪式的人员应佩戴口罩、携带身份证。</w:t>
      </w:r>
    </w:p>
    <w:p>
      <w:pPr>
        <w:spacing w:line="360" w:lineRule="auto"/>
        <w:ind w:left="1" w:firstLine="480" w:firstLineChars="200"/>
        <w:rPr>
          <w:rFonts w:ascii="宋体" w:hAnsi="宋体"/>
          <w:sz w:val="24"/>
        </w:rPr>
      </w:pPr>
      <w:r>
        <w:rPr>
          <w:rFonts w:hint="eastAsia" w:ascii="宋体" w:hAnsi="宋体"/>
          <w:sz w:val="24"/>
        </w:rPr>
        <w:t>4.如本公告内容和比选文件内容不一致，以比选文件为准。</w:t>
      </w:r>
    </w:p>
    <w:p>
      <w:pPr>
        <w:pStyle w:val="34"/>
      </w:pPr>
    </w:p>
    <w:p>
      <w:pPr>
        <w:pStyle w:val="5"/>
        <w:spacing w:before="0" w:line="360" w:lineRule="auto"/>
        <w:jc w:val="left"/>
        <w:rPr>
          <w:rFonts w:ascii="宋体" w:hAnsi="宋体" w:eastAsia="宋体"/>
          <w:sz w:val="24"/>
          <w:szCs w:val="24"/>
        </w:rPr>
      </w:pPr>
      <w:bookmarkStart w:id="31" w:name="_Toc35393796"/>
      <w:bookmarkStart w:id="32" w:name="_Toc35393627"/>
      <w:bookmarkStart w:id="33" w:name="_Toc28359008"/>
      <w:bookmarkStart w:id="34" w:name="_Toc28359085"/>
      <w:r>
        <w:rPr>
          <w:rFonts w:ascii="宋体" w:hAnsi="宋体" w:eastAsia="宋体"/>
          <w:sz w:val="24"/>
          <w:szCs w:val="24"/>
        </w:rPr>
        <w:t>七、对本次招标提出询问，请按以下方式联系。</w:t>
      </w:r>
      <w:bookmarkEnd w:id="31"/>
      <w:bookmarkEnd w:id="32"/>
      <w:bookmarkEnd w:id="33"/>
      <w:bookmarkEnd w:id="34"/>
    </w:p>
    <w:p>
      <w:pPr>
        <w:spacing w:line="360" w:lineRule="auto"/>
        <w:ind w:left="1080" w:leftChars="371" w:hanging="301" w:hangingChars="125"/>
        <w:jc w:val="left"/>
        <w:rPr>
          <w:rFonts w:ascii="宋体" w:hAnsi="宋体"/>
          <w:b/>
          <w:sz w:val="24"/>
        </w:rPr>
      </w:pPr>
      <w:r>
        <w:rPr>
          <w:rFonts w:ascii="宋体" w:hAnsi="宋体"/>
          <w:b/>
          <w:sz w:val="24"/>
        </w:rPr>
        <w:t>1.采购人信息</w:t>
      </w:r>
    </w:p>
    <w:p>
      <w:pPr>
        <w:spacing w:line="360" w:lineRule="auto"/>
        <w:ind w:left="1079" w:leftChars="371" w:hanging="300" w:hangingChars="125"/>
        <w:jc w:val="left"/>
        <w:rPr>
          <w:sz w:val="24"/>
        </w:rPr>
      </w:pPr>
      <w:bookmarkStart w:id="35" w:name="_Toc28359086"/>
      <w:bookmarkStart w:id="36" w:name="_Toc28359009"/>
      <w:r>
        <w:rPr>
          <w:sz w:val="24"/>
        </w:rPr>
        <w:t>名    称：</w:t>
      </w:r>
      <w:r>
        <w:rPr>
          <w:rFonts w:hint="eastAsia"/>
          <w:sz w:val="24"/>
          <w:u w:val="single"/>
        </w:rPr>
        <w:t>首都师范大学</w:t>
      </w:r>
    </w:p>
    <w:p>
      <w:pPr>
        <w:spacing w:line="360" w:lineRule="auto"/>
        <w:ind w:left="1079" w:leftChars="371" w:hanging="300" w:hangingChars="125"/>
        <w:jc w:val="left"/>
        <w:rPr>
          <w:sz w:val="24"/>
        </w:rPr>
      </w:pPr>
      <w:r>
        <w:rPr>
          <w:rFonts w:hint="eastAsia"/>
          <w:sz w:val="24"/>
        </w:rPr>
        <w:t>地    址：</w:t>
      </w:r>
      <w:r>
        <w:rPr>
          <w:rFonts w:hint="eastAsia"/>
          <w:sz w:val="24"/>
          <w:u w:val="single"/>
        </w:rPr>
        <w:t>北京市西三环北路105号</w:t>
      </w:r>
    </w:p>
    <w:p>
      <w:pPr>
        <w:spacing w:line="360" w:lineRule="auto"/>
        <w:ind w:left="1079" w:leftChars="371" w:hanging="300" w:hangingChars="125"/>
        <w:jc w:val="left"/>
        <w:rPr>
          <w:sz w:val="24"/>
        </w:rPr>
      </w:pPr>
      <w:r>
        <w:rPr>
          <w:rFonts w:hint="eastAsia"/>
          <w:sz w:val="24"/>
        </w:rPr>
        <w:t>联系方式：</w:t>
      </w:r>
      <w:r>
        <w:rPr>
          <w:rFonts w:hint="eastAsia"/>
          <w:sz w:val="24"/>
          <w:u w:val="single"/>
        </w:rPr>
        <w:t xml:space="preserve">战永佳010-68902830  </w:t>
      </w:r>
    </w:p>
    <w:p>
      <w:pPr>
        <w:spacing w:line="360" w:lineRule="auto"/>
        <w:ind w:left="1080" w:leftChars="371" w:hanging="301" w:hangingChars="125"/>
        <w:jc w:val="left"/>
        <w:rPr>
          <w:rFonts w:ascii="宋体" w:hAnsi="宋体"/>
          <w:b/>
          <w:sz w:val="24"/>
        </w:rPr>
      </w:pPr>
      <w:r>
        <w:rPr>
          <w:rFonts w:ascii="宋体" w:hAnsi="宋体"/>
          <w:b/>
          <w:sz w:val="24"/>
        </w:rPr>
        <w:t>2.采购代理机构信息</w:t>
      </w:r>
      <w:bookmarkEnd w:id="35"/>
      <w:bookmarkEnd w:id="36"/>
    </w:p>
    <w:p>
      <w:pPr>
        <w:spacing w:line="360" w:lineRule="auto"/>
        <w:ind w:left="1076" w:leftChars="371" w:hanging="297" w:hangingChars="124"/>
        <w:jc w:val="left"/>
        <w:rPr>
          <w:sz w:val="24"/>
        </w:rPr>
      </w:pPr>
      <w:bookmarkStart w:id="37" w:name="_Toc28359087"/>
      <w:bookmarkStart w:id="38" w:name="_Toc28359010"/>
      <w:r>
        <w:rPr>
          <w:sz w:val="24"/>
        </w:rPr>
        <w:t>名    称：</w:t>
      </w:r>
      <w:r>
        <w:rPr>
          <w:rFonts w:hint="eastAsia"/>
          <w:sz w:val="24"/>
          <w:u w:val="single"/>
        </w:rPr>
        <w:t>北京明德致信咨询有限公司</w:t>
      </w:r>
    </w:p>
    <w:p>
      <w:pPr>
        <w:spacing w:line="360" w:lineRule="auto"/>
        <w:ind w:left="1076" w:leftChars="371" w:hanging="297" w:hangingChars="124"/>
        <w:jc w:val="left"/>
        <w:rPr>
          <w:sz w:val="24"/>
        </w:rPr>
      </w:pPr>
      <w:r>
        <w:rPr>
          <w:sz w:val="24"/>
        </w:rPr>
        <w:t>地    址：</w:t>
      </w:r>
      <w:r>
        <w:rPr>
          <w:rFonts w:hint="eastAsia"/>
          <w:sz w:val="24"/>
          <w:u w:val="single"/>
        </w:rPr>
        <w:t>北京市海淀区学院路30号科大天工大厦B座1709室</w:t>
      </w:r>
    </w:p>
    <w:p>
      <w:pPr>
        <w:spacing w:line="360" w:lineRule="auto"/>
        <w:ind w:left="1076" w:leftChars="371" w:hanging="297" w:hangingChars="124"/>
        <w:jc w:val="left"/>
        <w:rPr>
          <w:sz w:val="24"/>
          <w:u w:val="single"/>
        </w:rPr>
      </w:pPr>
      <w:r>
        <w:rPr>
          <w:sz w:val="24"/>
        </w:rPr>
        <w:t>联系方式：</w:t>
      </w:r>
      <w:r>
        <w:rPr>
          <w:rFonts w:hint="eastAsia"/>
          <w:sz w:val="24"/>
          <w:u w:val="single"/>
        </w:rPr>
        <w:t xml:space="preserve"> 王经理、吕绍山010－82370045，13391922409（开机时间：工作日上午9:00-11:30 下午13：00-17:30）</w:t>
      </w:r>
    </w:p>
    <w:p>
      <w:pPr>
        <w:spacing w:line="360" w:lineRule="auto"/>
        <w:ind w:firstLine="723" w:firstLineChars="300"/>
        <w:rPr>
          <w:rFonts w:ascii="宋体" w:hAnsi="宋体"/>
          <w:b/>
          <w:sz w:val="24"/>
          <w:u w:val="single"/>
        </w:rPr>
      </w:pPr>
      <w:r>
        <w:rPr>
          <w:rFonts w:ascii="宋体" w:hAnsi="宋体"/>
          <w:b/>
          <w:sz w:val="24"/>
        </w:rPr>
        <w:t>3.项目联系方式</w:t>
      </w:r>
      <w:bookmarkEnd w:id="37"/>
      <w:bookmarkEnd w:id="38"/>
    </w:p>
    <w:p>
      <w:pPr>
        <w:pStyle w:val="23"/>
        <w:spacing w:line="360" w:lineRule="auto"/>
        <w:ind w:left="1076" w:leftChars="371" w:hanging="297" w:hangingChars="124"/>
        <w:rPr>
          <w:rFonts w:hint="default" w:ascii="Times New Roman" w:hAnsi="Times New Roman"/>
          <w:sz w:val="24"/>
          <w:u w:val="single"/>
        </w:rPr>
      </w:pPr>
      <w:r>
        <w:rPr>
          <w:rFonts w:hint="default" w:ascii="Times New Roman" w:hAnsi="Times New Roman"/>
          <w:sz w:val="24"/>
          <w:szCs w:val="24"/>
        </w:rPr>
        <w:t>项目联系人：</w:t>
      </w:r>
      <w:r>
        <w:rPr>
          <w:sz w:val="24"/>
          <w:u w:val="single"/>
        </w:rPr>
        <w:t>王经理、吕绍山</w:t>
      </w:r>
    </w:p>
    <w:p>
      <w:pPr>
        <w:spacing w:line="360" w:lineRule="auto"/>
        <w:ind w:left="1076" w:leftChars="371" w:hanging="297" w:hangingChars="124"/>
        <w:jc w:val="left"/>
        <w:rPr>
          <w:sz w:val="24"/>
          <w:u w:val="single"/>
        </w:rPr>
      </w:pPr>
      <w:r>
        <w:rPr>
          <w:sz w:val="24"/>
        </w:rPr>
        <w:t>电      话：</w:t>
      </w:r>
      <w:r>
        <w:rPr>
          <w:sz w:val="24"/>
          <w:u w:val="single"/>
        </w:rPr>
        <w:t>010－82370045，</w:t>
      </w:r>
      <w:r>
        <w:rPr>
          <w:rFonts w:hint="eastAsia"/>
          <w:sz w:val="24"/>
          <w:u w:val="single"/>
        </w:rPr>
        <w:t>13391922409（开机时间：工作日上午9:00-11:30 下午13：00-17:30）</w:t>
      </w:r>
    </w:p>
    <w:p>
      <w:pPr>
        <w:pStyle w:val="23"/>
        <w:spacing w:line="360" w:lineRule="auto"/>
        <w:ind w:left="1076" w:leftChars="371" w:hanging="297" w:hangingChars="124"/>
        <w:rPr>
          <w:rFonts w:hint="default" w:ascii="Times New Roman" w:hAnsi="Times New Roman"/>
          <w:sz w:val="24"/>
          <w:szCs w:val="24"/>
        </w:rPr>
      </w:pPr>
    </w:p>
    <w:p>
      <w:pPr>
        <w:spacing w:line="360" w:lineRule="auto"/>
        <w:ind w:firstLine="5880" w:firstLineChars="2450"/>
        <w:jc w:val="right"/>
        <w:rPr>
          <w:rFonts w:ascii="宋体" w:hAnsi="宋体"/>
          <w:sz w:val="24"/>
        </w:rPr>
      </w:pPr>
    </w:p>
    <w:p>
      <w:pPr>
        <w:spacing w:line="360" w:lineRule="auto"/>
        <w:jc w:val="center"/>
        <w:outlineLvl w:val="0"/>
        <w:rPr>
          <w:rFonts w:ascii="宋体" w:hAnsi="宋体"/>
          <w:b/>
          <w:sz w:val="32"/>
          <w:szCs w:val="32"/>
        </w:rPr>
      </w:pPr>
      <w:r>
        <w:rPr>
          <w:rFonts w:ascii="宋体" w:hAnsi="宋体"/>
          <w:sz w:val="24"/>
        </w:rPr>
        <w:br w:type="page"/>
      </w:r>
      <w:bookmarkStart w:id="39" w:name="_Toc305158928"/>
      <w:bookmarkStart w:id="40" w:name="_Toc127151777"/>
      <w:bookmarkStart w:id="41" w:name="_Toc5899"/>
      <w:bookmarkStart w:id="42" w:name="_Toc305158854"/>
      <w:bookmarkStart w:id="43" w:name="_Toc353873938"/>
      <w:bookmarkStart w:id="44" w:name="_Toc195842950"/>
      <w:bookmarkStart w:id="45" w:name="_Toc265228423"/>
      <w:bookmarkStart w:id="46" w:name="_Toc150774783"/>
      <w:bookmarkStart w:id="47" w:name="_Toc512937850"/>
      <w:bookmarkStart w:id="48" w:name="_Toc226965856"/>
      <w:bookmarkStart w:id="49" w:name="_Toc127161488"/>
      <w:bookmarkStart w:id="50" w:name="_Toc264969275"/>
      <w:bookmarkStart w:id="51" w:name="_Toc17889"/>
      <w:bookmarkStart w:id="52" w:name="_Toc353825548"/>
      <w:r>
        <w:rPr>
          <w:rFonts w:ascii="宋体" w:hAnsi="宋体"/>
          <w:b/>
          <w:sz w:val="36"/>
          <w:szCs w:val="36"/>
        </w:rPr>
        <w:t xml:space="preserve">第二章  </w:t>
      </w:r>
      <w:r>
        <w:rPr>
          <w:rFonts w:hint="eastAsia" w:ascii="宋体" w:hAnsi="宋体"/>
          <w:b/>
          <w:sz w:val="36"/>
          <w:szCs w:val="36"/>
        </w:rPr>
        <w:t>供应商</w:t>
      </w:r>
      <w:r>
        <w:rPr>
          <w:rFonts w:ascii="宋体" w:hAnsi="宋体"/>
          <w:b/>
          <w:sz w:val="36"/>
          <w:szCs w:val="36"/>
        </w:rPr>
        <w:t>须知</w:t>
      </w:r>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5"/>
        <w:tabs>
          <w:tab w:val="center" w:pos="4592"/>
          <w:tab w:val="left" w:pos="7860"/>
        </w:tabs>
        <w:spacing w:before="0" w:line="360" w:lineRule="auto"/>
        <w:rPr>
          <w:rFonts w:ascii="宋体" w:hAnsi="宋体" w:eastAsia="宋体"/>
          <w:sz w:val="28"/>
        </w:rPr>
      </w:pPr>
      <w:bookmarkStart w:id="53" w:name="_Toc226965709"/>
      <w:bookmarkStart w:id="54" w:name="_Toc149720812"/>
      <w:bookmarkStart w:id="55" w:name="_Toc127151519"/>
      <w:bookmarkStart w:id="56" w:name="_Toc195842884"/>
      <w:bookmarkStart w:id="57" w:name="_Toc150774619"/>
      <w:bookmarkStart w:id="58" w:name="_Toc226309763"/>
      <w:bookmarkStart w:id="59" w:name="_Toc164351613"/>
      <w:bookmarkStart w:id="60" w:name="_Toc164608633"/>
      <w:bookmarkStart w:id="61" w:name="_Toc164608788"/>
      <w:bookmarkStart w:id="62" w:name="_Toc151193833"/>
      <w:bookmarkStart w:id="63" w:name="_Toc151190146"/>
      <w:bookmarkStart w:id="64" w:name="_Toc142311021"/>
      <w:bookmarkStart w:id="65" w:name="_Toc151193907"/>
      <w:bookmarkStart w:id="66" w:name="_Toc226965792"/>
      <w:bookmarkStart w:id="67" w:name="_Toc150480757"/>
      <w:bookmarkStart w:id="68" w:name="_Toc150774724"/>
      <w:bookmarkStart w:id="69" w:name="_Toc151193689"/>
      <w:bookmarkStart w:id="70" w:name="_Toc151193761"/>
      <w:bookmarkStart w:id="71" w:name="_Toc127161433"/>
      <w:bookmarkStart w:id="72" w:name="_Toc127151720"/>
      <w:bookmarkStart w:id="73" w:name="_Toc151193617"/>
      <w:bookmarkStart w:id="74" w:name="_Toc150509270"/>
      <w:bookmarkStart w:id="75" w:name="_Toc226337215"/>
      <w:bookmarkStart w:id="76" w:name="_Toc164229360"/>
      <w:bookmarkStart w:id="77" w:name="_Toc164229214"/>
      <w:bookmarkStart w:id="78" w:name="_Toc520356144"/>
      <w:r>
        <w:rPr>
          <w:rFonts w:hint="eastAsia" w:ascii="宋体" w:hAnsi="宋体" w:eastAsia="宋体"/>
          <w:sz w:val="28"/>
        </w:rPr>
        <w:t>供应商</w:t>
      </w:r>
      <w:r>
        <w:rPr>
          <w:rFonts w:ascii="宋体" w:hAnsi="宋体" w:eastAsia="宋体"/>
          <w:sz w:val="28"/>
        </w:rPr>
        <w:t>须知资料表</w:t>
      </w:r>
    </w:p>
    <w:p>
      <w:pPr>
        <w:spacing w:line="360" w:lineRule="auto"/>
        <w:ind w:firstLine="480"/>
        <w:rPr>
          <w:rFonts w:ascii="宋体" w:hAnsi="宋体"/>
          <w:sz w:val="24"/>
        </w:rPr>
      </w:pPr>
      <w:r>
        <w:rPr>
          <w:rFonts w:ascii="宋体" w:hAnsi="宋体"/>
          <w:sz w:val="24"/>
        </w:rPr>
        <w:t>本表是对</w:t>
      </w:r>
      <w:r>
        <w:rPr>
          <w:rFonts w:hint="eastAsia" w:ascii="宋体" w:hAnsi="宋体"/>
          <w:sz w:val="24"/>
        </w:rPr>
        <w:t>供应商</w:t>
      </w:r>
      <w:r>
        <w:rPr>
          <w:rFonts w:ascii="宋体" w:hAnsi="宋体"/>
          <w:sz w:val="24"/>
        </w:rPr>
        <w:t>须知的具体补充和修改，如有矛盾，均以本资料表为准。标记</w:t>
      </w:r>
      <w:r>
        <w:rPr>
          <w:rFonts w:ascii="宋体" w:hAnsi="宋体"/>
          <w:color w:val="000000"/>
          <w:sz w:val="24"/>
        </w:rPr>
        <w:t>“</w:t>
      </w:r>
      <w:r>
        <w:rPr>
          <w:rFonts w:ascii="宋体" w:hAnsi="宋体"/>
          <w:b/>
          <w:color w:val="000000"/>
          <w:sz w:val="24"/>
        </w:rPr>
        <w:t>■</w:t>
      </w:r>
      <w:r>
        <w:rPr>
          <w:rFonts w:ascii="宋体" w:hAnsi="宋体"/>
          <w:color w:val="000000"/>
          <w:sz w:val="24"/>
        </w:rPr>
        <w:t>”</w:t>
      </w:r>
      <w:r>
        <w:rPr>
          <w:rFonts w:ascii="宋体" w:hAnsi="宋体"/>
          <w:sz w:val="24"/>
        </w:rPr>
        <w:t>的选项意为适用于本项目，标记“□”的选项意为不适用于本项目。</w:t>
      </w:r>
    </w:p>
    <w:tbl>
      <w:tblPr>
        <w:tblStyle w:val="40"/>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459"/>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Align w:val="center"/>
          </w:tcPr>
          <w:p>
            <w:pPr>
              <w:spacing w:line="288" w:lineRule="auto"/>
              <w:jc w:val="center"/>
              <w:rPr>
                <w:rFonts w:ascii="宋体" w:hAnsi="宋体"/>
                <w:b/>
                <w:bCs/>
                <w:sz w:val="24"/>
              </w:rPr>
            </w:pPr>
            <w:r>
              <w:rPr>
                <w:rFonts w:ascii="宋体" w:hAnsi="宋体"/>
                <w:b/>
                <w:sz w:val="24"/>
              </w:rPr>
              <w:t>条款号</w:t>
            </w:r>
          </w:p>
        </w:tc>
        <w:tc>
          <w:tcPr>
            <w:tcW w:w="1701" w:type="dxa"/>
            <w:vAlign w:val="center"/>
          </w:tcPr>
          <w:p>
            <w:pPr>
              <w:spacing w:line="288" w:lineRule="auto"/>
              <w:jc w:val="center"/>
              <w:rPr>
                <w:rFonts w:ascii="宋体" w:hAnsi="宋体"/>
                <w:b/>
                <w:bCs/>
                <w:sz w:val="24"/>
              </w:rPr>
            </w:pPr>
            <w:r>
              <w:rPr>
                <w:rFonts w:ascii="宋体" w:hAnsi="宋体"/>
                <w:b/>
                <w:bCs/>
                <w:sz w:val="24"/>
              </w:rPr>
              <w:t>条目</w:t>
            </w:r>
          </w:p>
        </w:tc>
        <w:tc>
          <w:tcPr>
            <w:tcW w:w="7540" w:type="dxa"/>
            <w:vAlign w:val="center"/>
          </w:tcPr>
          <w:p>
            <w:pPr>
              <w:spacing w:line="288" w:lineRule="auto"/>
              <w:jc w:val="center"/>
              <w:rPr>
                <w:rFonts w:ascii="宋体" w:hAnsi="宋体"/>
                <w:b/>
                <w:bCs/>
                <w:sz w:val="24"/>
              </w:rPr>
            </w:pPr>
            <w:r>
              <w:rPr>
                <w:rFonts w:ascii="宋体" w:hAnsi="宋体"/>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23"/>
              <w:adjustRightInd w:val="0"/>
              <w:snapToGrid w:val="0"/>
              <w:spacing w:line="288" w:lineRule="auto"/>
              <w:jc w:val="center"/>
              <w:rPr>
                <w:rFonts w:hint="default" w:hAnsi="宋体"/>
                <w:sz w:val="24"/>
                <w:szCs w:val="24"/>
              </w:rPr>
            </w:pPr>
            <w:r>
              <w:rPr>
                <w:rFonts w:hint="default" w:hAnsi="宋体"/>
                <w:sz w:val="24"/>
                <w:szCs w:val="24"/>
              </w:rPr>
              <w:t>2.2</w:t>
            </w:r>
          </w:p>
        </w:tc>
        <w:tc>
          <w:tcPr>
            <w:tcW w:w="1701" w:type="dxa"/>
            <w:vAlign w:val="center"/>
          </w:tcPr>
          <w:p>
            <w:pPr>
              <w:spacing w:line="288" w:lineRule="auto"/>
              <w:jc w:val="center"/>
              <w:rPr>
                <w:rFonts w:ascii="宋体" w:hAnsi="宋体"/>
                <w:sz w:val="24"/>
              </w:rPr>
            </w:pPr>
            <w:r>
              <w:rPr>
                <w:rFonts w:ascii="宋体" w:hAnsi="宋体"/>
                <w:sz w:val="24"/>
              </w:rPr>
              <w:t>项目属性</w:t>
            </w:r>
          </w:p>
        </w:tc>
        <w:tc>
          <w:tcPr>
            <w:tcW w:w="7540" w:type="dxa"/>
            <w:vAlign w:val="center"/>
          </w:tcPr>
          <w:p>
            <w:pPr>
              <w:spacing w:line="288" w:lineRule="auto"/>
              <w:jc w:val="left"/>
              <w:rPr>
                <w:rFonts w:ascii="宋体" w:hAnsi="宋体"/>
                <w:sz w:val="24"/>
              </w:rPr>
            </w:pPr>
            <w:r>
              <w:rPr>
                <w:rFonts w:ascii="宋体" w:hAnsi="宋体"/>
                <w:sz w:val="24"/>
              </w:rPr>
              <w:t>项目属性：</w:t>
            </w:r>
          </w:p>
          <w:p>
            <w:pPr>
              <w:spacing w:line="288" w:lineRule="auto"/>
              <w:jc w:val="left"/>
              <w:rPr>
                <w:rFonts w:ascii="宋体" w:hAnsi="宋体"/>
                <w:sz w:val="24"/>
              </w:rPr>
            </w:pPr>
            <w:r>
              <w:rPr>
                <w:rFonts w:ascii="宋体" w:hAnsi="宋体"/>
                <w:b/>
                <w:color w:val="000000"/>
                <w:sz w:val="24"/>
              </w:rPr>
              <w:t>■</w:t>
            </w:r>
            <w:r>
              <w:rPr>
                <w:rFonts w:ascii="宋体" w:hAnsi="宋体"/>
                <w:sz w:val="24"/>
              </w:rPr>
              <w:t>服务</w:t>
            </w:r>
          </w:p>
          <w:p>
            <w:pPr>
              <w:spacing w:line="288" w:lineRule="auto"/>
              <w:jc w:val="left"/>
              <w:rPr>
                <w:rFonts w:ascii="宋体" w:hAnsi="宋体"/>
                <w:sz w:val="24"/>
                <w:u w:val="single"/>
              </w:rPr>
            </w:pPr>
            <w:r>
              <w:rPr>
                <w:rFonts w:ascii="宋体" w:hAnsi="宋体"/>
                <w:sz w:val="24"/>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23"/>
              <w:adjustRightInd w:val="0"/>
              <w:snapToGrid w:val="0"/>
              <w:spacing w:line="288" w:lineRule="auto"/>
              <w:jc w:val="center"/>
              <w:rPr>
                <w:rFonts w:hint="default" w:hAnsi="宋体"/>
                <w:sz w:val="24"/>
                <w:szCs w:val="24"/>
              </w:rPr>
            </w:pPr>
            <w:r>
              <w:rPr>
                <w:rFonts w:hint="default" w:hAnsi="宋体"/>
                <w:sz w:val="24"/>
                <w:szCs w:val="24"/>
              </w:rPr>
              <w:t>2.3</w:t>
            </w:r>
          </w:p>
        </w:tc>
        <w:tc>
          <w:tcPr>
            <w:tcW w:w="1701" w:type="dxa"/>
            <w:vAlign w:val="center"/>
          </w:tcPr>
          <w:p>
            <w:pPr>
              <w:spacing w:line="288" w:lineRule="auto"/>
              <w:jc w:val="center"/>
              <w:rPr>
                <w:rFonts w:ascii="宋体" w:hAnsi="宋体"/>
                <w:sz w:val="24"/>
              </w:rPr>
            </w:pPr>
            <w:r>
              <w:rPr>
                <w:rFonts w:ascii="宋体" w:hAnsi="宋体"/>
                <w:sz w:val="24"/>
              </w:rPr>
              <w:t>科研仪器设备</w:t>
            </w:r>
          </w:p>
        </w:tc>
        <w:tc>
          <w:tcPr>
            <w:tcW w:w="7540" w:type="dxa"/>
            <w:vAlign w:val="center"/>
          </w:tcPr>
          <w:p>
            <w:pPr>
              <w:spacing w:line="288" w:lineRule="auto"/>
              <w:jc w:val="left"/>
              <w:rPr>
                <w:rFonts w:ascii="宋体" w:hAnsi="宋体"/>
                <w:sz w:val="24"/>
              </w:rPr>
            </w:pPr>
            <w:r>
              <w:rPr>
                <w:rFonts w:ascii="宋体" w:hAnsi="宋体"/>
                <w:sz w:val="24"/>
              </w:rPr>
              <w:t>是否属于科研仪器设备采购项目：</w:t>
            </w:r>
          </w:p>
          <w:p>
            <w:pPr>
              <w:spacing w:line="288" w:lineRule="auto"/>
              <w:jc w:val="left"/>
              <w:rPr>
                <w:rFonts w:ascii="宋体" w:hAnsi="宋体"/>
                <w:sz w:val="24"/>
              </w:rPr>
            </w:pPr>
            <w:r>
              <w:rPr>
                <w:rFonts w:ascii="宋体" w:hAnsi="宋体"/>
                <w:sz w:val="24"/>
              </w:rPr>
              <w:t>□是</w:t>
            </w:r>
          </w:p>
          <w:p>
            <w:pPr>
              <w:spacing w:line="288" w:lineRule="auto"/>
              <w:jc w:val="left"/>
              <w:rPr>
                <w:rFonts w:ascii="宋体" w:hAnsi="宋体"/>
                <w:sz w:val="24"/>
              </w:rPr>
            </w:pPr>
            <w:r>
              <w:rPr>
                <w:rFonts w:ascii="宋体" w:hAnsi="宋体"/>
                <w:b/>
                <w:color w:val="000000"/>
                <w:sz w:val="24"/>
              </w:rPr>
              <w:t>■</w:t>
            </w: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23"/>
              <w:adjustRightInd w:val="0"/>
              <w:snapToGrid w:val="0"/>
              <w:spacing w:line="288" w:lineRule="auto"/>
              <w:jc w:val="center"/>
              <w:rPr>
                <w:rFonts w:hint="default" w:hAnsi="宋体"/>
                <w:sz w:val="24"/>
                <w:szCs w:val="24"/>
              </w:rPr>
            </w:pPr>
            <w:r>
              <w:rPr>
                <w:rFonts w:hint="default" w:hAnsi="宋体"/>
                <w:sz w:val="24"/>
                <w:szCs w:val="24"/>
              </w:rPr>
              <w:t>2.4</w:t>
            </w:r>
          </w:p>
        </w:tc>
        <w:tc>
          <w:tcPr>
            <w:tcW w:w="1701" w:type="dxa"/>
            <w:vAlign w:val="center"/>
          </w:tcPr>
          <w:p>
            <w:pPr>
              <w:spacing w:line="288" w:lineRule="auto"/>
              <w:jc w:val="center"/>
              <w:rPr>
                <w:rFonts w:ascii="宋体" w:hAnsi="宋体"/>
                <w:sz w:val="24"/>
              </w:rPr>
            </w:pPr>
            <w:r>
              <w:rPr>
                <w:rFonts w:ascii="宋体" w:hAnsi="宋体"/>
                <w:sz w:val="24"/>
              </w:rPr>
              <w:t>核心产品</w:t>
            </w:r>
          </w:p>
        </w:tc>
        <w:tc>
          <w:tcPr>
            <w:tcW w:w="7540" w:type="dxa"/>
            <w:vAlign w:val="center"/>
          </w:tcPr>
          <w:p>
            <w:pPr>
              <w:pStyle w:val="23"/>
              <w:adjustRightInd w:val="0"/>
              <w:snapToGrid w:val="0"/>
              <w:spacing w:line="288" w:lineRule="auto"/>
              <w:rPr>
                <w:rFonts w:hint="default" w:hAnsi="宋体"/>
                <w:sz w:val="24"/>
                <w:szCs w:val="24"/>
              </w:rPr>
            </w:pPr>
            <w:r>
              <w:rPr>
                <w:rFonts w:hint="default" w:hAnsi="宋体"/>
                <w:sz w:val="24"/>
                <w:szCs w:val="24"/>
              </w:rPr>
              <w:t>□关于核心产品本项目不适用。</w:t>
            </w:r>
          </w:p>
          <w:p>
            <w:pPr>
              <w:pStyle w:val="23"/>
              <w:adjustRightInd w:val="0"/>
              <w:snapToGrid w:val="0"/>
              <w:spacing w:line="288" w:lineRule="auto"/>
              <w:rPr>
                <w:rFonts w:hint="default" w:hAnsi="宋体"/>
                <w:sz w:val="24"/>
                <w:szCs w:val="24"/>
              </w:rPr>
            </w:pPr>
            <w:r>
              <w:rPr>
                <w:rFonts w:hint="default" w:hAnsi="宋体"/>
                <w:sz w:val="24"/>
                <w:szCs w:val="24"/>
              </w:rPr>
              <w:t>□</w:t>
            </w:r>
            <w:r>
              <w:rPr>
                <w:rFonts w:hAnsi="宋体"/>
                <w:sz w:val="24"/>
              </w:rPr>
              <w:t>本项目为单一产品采购项目</w:t>
            </w:r>
          </w:p>
          <w:p>
            <w:pPr>
              <w:pStyle w:val="23"/>
              <w:adjustRightInd w:val="0"/>
              <w:snapToGrid w:val="0"/>
              <w:spacing w:line="288" w:lineRule="auto"/>
              <w:rPr>
                <w:rFonts w:hint="default" w:hAnsi="宋体"/>
                <w:sz w:val="24"/>
                <w:szCs w:val="24"/>
              </w:rPr>
            </w:pPr>
            <w:r>
              <w:rPr>
                <w:rFonts w:hAnsi="宋体"/>
                <w:b/>
                <w:color w:val="000000"/>
                <w:sz w:val="24"/>
              </w:rPr>
              <w:t>■</w:t>
            </w:r>
            <w:r>
              <w:rPr>
                <w:rFonts w:hAnsi="宋体"/>
                <w:sz w:val="24"/>
              </w:rPr>
              <w:t>本项目为非单一产品采购项目，核心产品为：</w:t>
            </w:r>
            <w:r>
              <w:rPr>
                <w:rFonts w:hint="default" w:hAnsi="宋体"/>
                <w:sz w:val="24"/>
                <w:szCs w:val="24"/>
              </w:rPr>
              <w:t xml:space="preserve"> </w:t>
            </w:r>
            <w:r>
              <w:rPr>
                <w:rFonts w:hAnsi="宋体" w:cs="宋体"/>
                <w:sz w:val="24"/>
                <w:szCs w:val="24"/>
              </w:rPr>
              <w:t>检修ABC灭火器（5KG）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pPr>
              <w:pStyle w:val="23"/>
              <w:adjustRightInd w:val="0"/>
              <w:snapToGrid w:val="0"/>
              <w:spacing w:line="288" w:lineRule="auto"/>
              <w:jc w:val="center"/>
              <w:rPr>
                <w:rFonts w:hint="default" w:hAnsi="宋体"/>
                <w:sz w:val="24"/>
                <w:szCs w:val="24"/>
              </w:rPr>
            </w:pPr>
            <w:r>
              <w:rPr>
                <w:rFonts w:hint="default" w:hAnsi="宋体"/>
                <w:sz w:val="24"/>
                <w:szCs w:val="24"/>
              </w:rPr>
              <w:t>3.1</w:t>
            </w:r>
          </w:p>
        </w:tc>
        <w:tc>
          <w:tcPr>
            <w:tcW w:w="1701" w:type="dxa"/>
            <w:vAlign w:val="center"/>
          </w:tcPr>
          <w:p>
            <w:pPr>
              <w:spacing w:line="288" w:lineRule="auto"/>
              <w:jc w:val="center"/>
              <w:rPr>
                <w:rFonts w:ascii="宋体" w:hAnsi="宋体"/>
                <w:sz w:val="24"/>
              </w:rPr>
            </w:pPr>
            <w:r>
              <w:rPr>
                <w:rFonts w:ascii="宋体" w:hAnsi="宋体"/>
                <w:sz w:val="24"/>
              </w:rPr>
              <w:t>现场考察</w:t>
            </w:r>
          </w:p>
        </w:tc>
        <w:tc>
          <w:tcPr>
            <w:tcW w:w="7540" w:type="dxa"/>
            <w:vAlign w:val="center"/>
          </w:tcPr>
          <w:p>
            <w:pPr>
              <w:spacing w:line="288" w:lineRule="auto"/>
              <w:jc w:val="left"/>
              <w:rPr>
                <w:rFonts w:ascii="宋体" w:hAnsi="宋体"/>
                <w:sz w:val="24"/>
              </w:rPr>
            </w:pPr>
            <w:r>
              <w:rPr>
                <w:rFonts w:ascii="宋体" w:hAnsi="宋体"/>
                <w:b/>
                <w:color w:val="000000"/>
                <w:sz w:val="24"/>
              </w:rPr>
              <w:t>■</w:t>
            </w:r>
            <w:r>
              <w:rPr>
                <w:rFonts w:ascii="宋体" w:hAnsi="宋体"/>
                <w:sz w:val="24"/>
              </w:rPr>
              <w:t>不组织</w:t>
            </w:r>
          </w:p>
          <w:p>
            <w:pPr>
              <w:spacing w:line="288" w:lineRule="auto"/>
              <w:jc w:val="left"/>
              <w:rPr>
                <w:rFonts w:ascii="宋体" w:hAnsi="宋体"/>
                <w:bCs/>
                <w:sz w:val="24"/>
              </w:rPr>
            </w:pPr>
            <w:r>
              <w:rPr>
                <w:rFonts w:ascii="宋体" w:hAnsi="宋体"/>
                <w:sz w:val="24"/>
              </w:rPr>
              <w:t>□组织，考察时间：__年_月_日_</w:t>
            </w:r>
            <w:r>
              <w:rPr>
                <w:rFonts w:ascii="宋体" w:hAnsi="宋体"/>
                <w:bCs/>
                <w:sz w:val="24"/>
              </w:rPr>
              <w:t>点</w:t>
            </w:r>
            <w:r>
              <w:rPr>
                <w:rFonts w:ascii="宋体" w:hAnsi="宋体"/>
                <w:sz w:val="24"/>
              </w:rPr>
              <w:t>_</w:t>
            </w:r>
            <w:r>
              <w:rPr>
                <w:rFonts w:ascii="宋体" w:hAnsi="宋体"/>
                <w:bCs/>
                <w:sz w:val="24"/>
              </w:rPr>
              <w:t>分</w:t>
            </w:r>
          </w:p>
          <w:p>
            <w:pPr>
              <w:pStyle w:val="23"/>
              <w:adjustRightInd w:val="0"/>
              <w:snapToGrid w:val="0"/>
              <w:spacing w:line="288" w:lineRule="auto"/>
              <w:rPr>
                <w:rFonts w:hint="default" w:hAnsi="宋体"/>
                <w:sz w:val="24"/>
                <w:szCs w:val="24"/>
              </w:rPr>
            </w:pPr>
            <w:r>
              <w:rPr>
                <w:rFonts w:hint="default" w:hAnsi="宋体"/>
                <w:sz w:val="24"/>
              </w:rPr>
              <w:t>考察地点：____________</w:t>
            </w:r>
            <w:r>
              <w:rPr>
                <w:rFonts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23"/>
              <w:adjustRightInd w:val="0"/>
              <w:snapToGrid w:val="0"/>
              <w:spacing w:line="288" w:lineRule="auto"/>
              <w:jc w:val="center"/>
              <w:rPr>
                <w:rFonts w:hint="default" w:hAnsi="宋体"/>
                <w:sz w:val="24"/>
                <w:szCs w:val="24"/>
              </w:rPr>
            </w:pPr>
          </w:p>
        </w:tc>
        <w:tc>
          <w:tcPr>
            <w:tcW w:w="1701" w:type="dxa"/>
            <w:vAlign w:val="center"/>
          </w:tcPr>
          <w:p>
            <w:pPr>
              <w:spacing w:line="288" w:lineRule="auto"/>
              <w:jc w:val="center"/>
              <w:rPr>
                <w:rFonts w:ascii="宋体" w:hAnsi="宋体"/>
                <w:sz w:val="24"/>
              </w:rPr>
            </w:pPr>
            <w:r>
              <w:rPr>
                <w:rFonts w:hint="eastAsia" w:ascii="宋体" w:hAnsi="宋体"/>
                <w:sz w:val="24"/>
              </w:rPr>
              <w:t>开选</w:t>
            </w:r>
            <w:r>
              <w:rPr>
                <w:rFonts w:ascii="宋体" w:hAnsi="宋体"/>
                <w:sz w:val="24"/>
              </w:rPr>
              <w:t>前答疑会</w:t>
            </w:r>
          </w:p>
        </w:tc>
        <w:tc>
          <w:tcPr>
            <w:tcW w:w="7540" w:type="dxa"/>
            <w:vAlign w:val="center"/>
          </w:tcPr>
          <w:p>
            <w:pPr>
              <w:spacing w:line="288" w:lineRule="auto"/>
              <w:jc w:val="left"/>
              <w:rPr>
                <w:rFonts w:ascii="宋体" w:hAnsi="宋体"/>
                <w:sz w:val="24"/>
              </w:rPr>
            </w:pPr>
            <w:r>
              <w:rPr>
                <w:rFonts w:ascii="宋体" w:hAnsi="宋体"/>
                <w:b/>
                <w:color w:val="000000"/>
                <w:sz w:val="24"/>
              </w:rPr>
              <w:t>■</w:t>
            </w:r>
            <w:r>
              <w:rPr>
                <w:rFonts w:ascii="宋体" w:hAnsi="宋体"/>
                <w:sz w:val="24"/>
              </w:rPr>
              <w:t>不召开</w:t>
            </w:r>
          </w:p>
          <w:p>
            <w:pPr>
              <w:spacing w:line="288" w:lineRule="auto"/>
              <w:jc w:val="left"/>
              <w:rPr>
                <w:rFonts w:ascii="宋体" w:hAnsi="宋体"/>
                <w:sz w:val="24"/>
              </w:rPr>
            </w:pPr>
            <w:r>
              <w:rPr>
                <w:rFonts w:ascii="宋体" w:hAnsi="宋体"/>
                <w:sz w:val="24"/>
              </w:rPr>
              <w:t>□召开，召开时间：__年_月_日_</w:t>
            </w:r>
            <w:r>
              <w:rPr>
                <w:rFonts w:ascii="宋体" w:hAnsi="宋体"/>
                <w:bCs/>
                <w:sz w:val="24"/>
              </w:rPr>
              <w:t>点</w:t>
            </w:r>
            <w:r>
              <w:rPr>
                <w:rFonts w:ascii="宋体" w:hAnsi="宋体"/>
                <w:sz w:val="24"/>
              </w:rPr>
              <w:t>_</w:t>
            </w:r>
            <w:r>
              <w:rPr>
                <w:rFonts w:ascii="宋体" w:hAnsi="宋体"/>
                <w:bCs/>
                <w:sz w:val="24"/>
              </w:rPr>
              <w:t>分</w:t>
            </w:r>
          </w:p>
          <w:p>
            <w:pPr>
              <w:spacing w:line="288" w:lineRule="auto"/>
              <w:jc w:val="left"/>
              <w:rPr>
                <w:rFonts w:ascii="宋体" w:hAnsi="宋体"/>
                <w:sz w:val="24"/>
              </w:rPr>
            </w:pPr>
            <w:r>
              <w:rPr>
                <w:rFonts w:ascii="宋体" w:hAnsi="宋体"/>
                <w:sz w:val="24"/>
              </w:rPr>
              <w:t>召开地点：____________</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23"/>
              <w:adjustRightInd w:val="0"/>
              <w:snapToGrid w:val="0"/>
              <w:spacing w:line="288" w:lineRule="auto"/>
              <w:jc w:val="center"/>
              <w:rPr>
                <w:rFonts w:hint="default" w:hAnsi="宋体"/>
                <w:sz w:val="24"/>
                <w:szCs w:val="24"/>
              </w:rPr>
            </w:pPr>
            <w:r>
              <w:rPr>
                <w:rFonts w:hint="default" w:hAnsi="宋体"/>
                <w:sz w:val="24"/>
                <w:szCs w:val="24"/>
              </w:rPr>
              <w:t>4.1</w:t>
            </w:r>
          </w:p>
        </w:tc>
        <w:tc>
          <w:tcPr>
            <w:tcW w:w="1701" w:type="dxa"/>
            <w:vAlign w:val="center"/>
          </w:tcPr>
          <w:p>
            <w:pPr>
              <w:spacing w:line="288" w:lineRule="auto"/>
              <w:jc w:val="center"/>
              <w:rPr>
                <w:rFonts w:ascii="宋体" w:hAnsi="宋体"/>
                <w:sz w:val="24"/>
              </w:rPr>
            </w:pPr>
            <w:r>
              <w:rPr>
                <w:rFonts w:ascii="宋体" w:hAnsi="宋体"/>
                <w:sz w:val="24"/>
              </w:rPr>
              <w:t>样品</w:t>
            </w:r>
          </w:p>
        </w:tc>
        <w:tc>
          <w:tcPr>
            <w:tcW w:w="7540" w:type="dxa"/>
            <w:vAlign w:val="center"/>
          </w:tcPr>
          <w:p>
            <w:pPr>
              <w:spacing w:line="288" w:lineRule="auto"/>
              <w:jc w:val="left"/>
              <w:rPr>
                <w:rFonts w:ascii="宋体" w:hAnsi="宋体"/>
                <w:sz w:val="24"/>
              </w:rPr>
            </w:pPr>
            <w:r>
              <w:rPr>
                <w:rFonts w:hint="eastAsia" w:ascii="宋体" w:hAnsi="宋体"/>
                <w:sz w:val="24"/>
              </w:rPr>
              <w:t>响应</w:t>
            </w:r>
            <w:r>
              <w:rPr>
                <w:rFonts w:ascii="宋体" w:hAnsi="宋体"/>
                <w:sz w:val="24"/>
              </w:rPr>
              <w:t>样品递交：</w:t>
            </w:r>
          </w:p>
          <w:p>
            <w:pPr>
              <w:spacing w:line="288" w:lineRule="auto"/>
              <w:jc w:val="left"/>
              <w:rPr>
                <w:rFonts w:ascii="宋体" w:hAnsi="宋体"/>
                <w:sz w:val="24"/>
              </w:rPr>
            </w:pPr>
            <w:r>
              <w:rPr>
                <w:rFonts w:ascii="宋体" w:hAnsi="宋体"/>
                <w:b/>
                <w:color w:val="000000"/>
                <w:sz w:val="24"/>
              </w:rPr>
              <w:t>■</w:t>
            </w:r>
            <w:r>
              <w:rPr>
                <w:rFonts w:ascii="宋体" w:hAnsi="宋体"/>
                <w:sz w:val="24"/>
              </w:rPr>
              <w:t>不需要</w:t>
            </w:r>
          </w:p>
          <w:p>
            <w:pPr>
              <w:spacing w:line="288" w:lineRule="auto"/>
              <w:jc w:val="left"/>
              <w:rPr>
                <w:rFonts w:ascii="宋体" w:hAnsi="宋体"/>
                <w:sz w:val="24"/>
              </w:rPr>
            </w:pPr>
            <w:r>
              <w:rPr>
                <w:rFonts w:ascii="宋体" w:hAnsi="宋体"/>
                <w:sz w:val="24"/>
              </w:rPr>
              <w:t>□需要，具体要求如下：</w:t>
            </w:r>
          </w:p>
          <w:p>
            <w:pPr>
              <w:spacing w:line="288" w:lineRule="auto"/>
              <w:jc w:val="left"/>
              <w:rPr>
                <w:rFonts w:ascii="宋体" w:hAnsi="宋体"/>
                <w:sz w:val="24"/>
                <w:u w:val="single"/>
              </w:rPr>
            </w:pPr>
            <w:r>
              <w:rPr>
                <w:rFonts w:ascii="宋体" w:hAnsi="宋体"/>
                <w:sz w:val="24"/>
              </w:rPr>
              <w:t>（1）样品制作的标准和要求：____；</w:t>
            </w:r>
          </w:p>
          <w:p>
            <w:pPr>
              <w:spacing w:line="288" w:lineRule="auto"/>
              <w:jc w:val="left"/>
              <w:rPr>
                <w:rFonts w:ascii="宋体" w:hAnsi="宋体"/>
                <w:sz w:val="24"/>
              </w:rPr>
            </w:pPr>
            <w:r>
              <w:rPr>
                <w:rFonts w:ascii="宋体" w:hAnsi="宋体"/>
                <w:sz w:val="24"/>
              </w:rPr>
              <w:t>（2）是否需要随样品提交相关检测报告：</w:t>
            </w:r>
          </w:p>
          <w:p>
            <w:pPr>
              <w:spacing w:line="288" w:lineRule="auto"/>
              <w:ind w:firstLine="602" w:firstLineChars="250"/>
              <w:jc w:val="left"/>
              <w:rPr>
                <w:rFonts w:ascii="宋体" w:hAnsi="宋体"/>
                <w:sz w:val="24"/>
              </w:rPr>
            </w:pPr>
            <w:r>
              <w:rPr>
                <w:rFonts w:ascii="宋体" w:hAnsi="宋体"/>
                <w:b/>
                <w:color w:val="000000"/>
                <w:sz w:val="24"/>
              </w:rPr>
              <w:t>■</w:t>
            </w:r>
            <w:r>
              <w:rPr>
                <w:rFonts w:ascii="宋体" w:hAnsi="宋体"/>
                <w:sz w:val="24"/>
              </w:rPr>
              <w:t>不需要</w:t>
            </w:r>
          </w:p>
          <w:p>
            <w:pPr>
              <w:spacing w:line="288" w:lineRule="auto"/>
              <w:ind w:firstLine="600" w:firstLineChars="250"/>
              <w:jc w:val="left"/>
              <w:rPr>
                <w:rFonts w:ascii="宋体" w:hAnsi="宋体"/>
                <w:sz w:val="24"/>
              </w:rPr>
            </w:pPr>
            <w:r>
              <w:rPr>
                <w:rFonts w:ascii="宋体" w:hAnsi="宋体"/>
                <w:sz w:val="24"/>
              </w:rPr>
              <w:t>□需要</w:t>
            </w:r>
          </w:p>
          <w:p>
            <w:pPr>
              <w:spacing w:line="288" w:lineRule="auto"/>
              <w:jc w:val="left"/>
              <w:rPr>
                <w:rFonts w:ascii="宋体" w:hAnsi="宋体"/>
                <w:sz w:val="24"/>
              </w:rPr>
            </w:pPr>
            <w:r>
              <w:rPr>
                <w:rFonts w:ascii="宋体" w:hAnsi="宋体"/>
                <w:sz w:val="24"/>
              </w:rPr>
              <w:t>（3）样品递交要求：__</w:t>
            </w:r>
            <w:r>
              <w:rPr>
                <w:rFonts w:hint="eastAsia" w:ascii="宋体" w:hAnsi="宋体"/>
                <w:sz w:val="24"/>
              </w:rPr>
              <w:t xml:space="preserve">  </w:t>
            </w:r>
            <w:r>
              <w:rPr>
                <w:rFonts w:ascii="宋体" w:hAnsi="宋体"/>
                <w:sz w:val="24"/>
              </w:rPr>
              <w:t>_；</w:t>
            </w:r>
          </w:p>
          <w:p>
            <w:pPr>
              <w:spacing w:line="288" w:lineRule="auto"/>
              <w:jc w:val="left"/>
              <w:rPr>
                <w:rFonts w:ascii="宋体" w:hAnsi="宋体"/>
                <w:sz w:val="24"/>
              </w:rPr>
            </w:pPr>
            <w:r>
              <w:rPr>
                <w:rFonts w:ascii="宋体" w:hAnsi="宋体"/>
                <w:sz w:val="24"/>
              </w:rPr>
              <w:t>（4）未</w:t>
            </w:r>
            <w:r>
              <w:rPr>
                <w:rFonts w:hint="eastAsia" w:ascii="宋体" w:hAnsi="宋体"/>
                <w:sz w:val="24"/>
              </w:rPr>
              <w:t>成交人</w:t>
            </w:r>
            <w:r>
              <w:rPr>
                <w:rFonts w:ascii="宋体" w:hAnsi="宋体"/>
                <w:sz w:val="24"/>
              </w:rPr>
              <w:t>样品退还：__</w:t>
            </w:r>
            <w:r>
              <w:rPr>
                <w:rFonts w:hint="eastAsia" w:ascii="宋体" w:hAnsi="宋体"/>
                <w:sz w:val="24"/>
              </w:rPr>
              <w:t xml:space="preserve">   </w:t>
            </w:r>
            <w:r>
              <w:rPr>
                <w:rFonts w:ascii="宋体" w:hAnsi="宋体"/>
                <w:sz w:val="24"/>
              </w:rPr>
              <w:t>；</w:t>
            </w:r>
          </w:p>
          <w:p>
            <w:pPr>
              <w:spacing w:line="288" w:lineRule="auto"/>
              <w:jc w:val="left"/>
              <w:rPr>
                <w:rFonts w:ascii="宋体" w:hAnsi="宋体"/>
                <w:sz w:val="24"/>
                <w:u w:val="single"/>
              </w:rPr>
            </w:pPr>
            <w:r>
              <w:rPr>
                <w:rFonts w:ascii="宋体" w:hAnsi="宋体"/>
                <w:sz w:val="24"/>
              </w:rPr>
              <w:t>（5）</w:t>
            </w:r>
            <w:r>
              <w:rPr>
                <w:rFonts w:hint="eastAsia" w:ascii="宋体" w:hAnsi="宋体"/>
                <w:sz w:val="24"/>
              </w:rPr>
              <w:t>成交人</w:t>
            </w:r>
            <w:r>
              <w:rPr>
                <w:rFonts w:ascii="宋体" w:hAnsi="宋体"/>
                <w:sz w:val="24"/>
              </w:rPr>
              <w:t>样品保管、封存及退还：______；</w:t>
            </w:r>
          </w:p>
          <w:p>
            <w:pPr>
              <w:spacing w:line="288" w:lineRule="auto"/>
              <w:jc w:val="left"/>
              <w:rPr>
                <w:rFonts w:ascii="宋体" w:hAnsi="宋体"/>
                <w:sz w:val="24"/>
              </w:rPr>
            </w:pPr>
            <w:r>
              <w:rPr>
                <w:rFonts w:ascii="宋体" w:hAnsi="宋体"/>
                <w:sz w:val="24"/>
              </w:rPr>
              <w:t>（6）其他要求：</w:t>
            </w:r>
            <w:r>
              <w:rPr>
                <w:rFonts w:hint="eastAsia" w:ascii="宋体" w:hAnsi="宋体"/>
                <w:sz w:val="24"/>
                <w:u w:val="single"/>
              </w:rPr>
              <w:t xml:space="preserve"> /  </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23"/>
              <w:adjustRightInd w:val="0"/>
              <w:snapToGrid w:val="0"/>
              <w:spacing w:line="288" w:lineRule="auto"/>
              <w:jc w:val="center"/>
              <w:rPr>
                <w:rFonts w:hint="default" w:hAnsi="宋体"/>
                <w:sz w:val="24"/>
                <w:szCs w:val="24"/>
              </w:rPr>
            </w:pPr>
            <w:r>
              <w:rPr>
                <w:rFonts w:hint="default" w:hAnsi="宋体"/>
                <w:sz w:val="24"/>
                <w:szCs w:val="24"/>
              </w:rPr>
              <w:t>5.2.5</w:t>
            </w:r>
          </w:p>
        </w:tc>
        <w:tc>
          <w:tcPr>
            <w:tcW w:w="1701" w:type="dxa"/>
            <w:vAlign w:val="center"/>
          </w:tcPr>
          <w:p>
            <w:pPr>
              <w:spacing w:line="288" w:lineRule="auto"/>
              <w:jc w:val="center"/>
              <w:rPr>
                <w:rFonts w:ascii="宋体" w:hAnsi="宋体"/>
                <w:sz w:val="24"/>
              </w:rPr>
            </w:pPr>
            <w:r>
              <w:rPr>
                <w:rFonts w:ascii="宋体" w:hAnsi="宋体"/>
                <w:sz w:val="24"/>
              </w:rPr>
              <w:t>标的所属行业</w:t>
            </w:r>
          </w:p>
        </w:tc>
        <w:tc>
          <w:tcPr>
            <w:tcW w:w="7540" w:type="dxa"/>
            <w:vAlign w:val="center"/>
          </w:tcPr>
          <w:p>
            <w:pPr>
              <w:spacing w:line="288" w:lineRule="auto"/>
              <w:jc w:val="left"/>
              <w:rPr>
                <w:rFonts w:ascii="宋体" w:hAnsi="宋体"/>
                <w:sz w:val="24"/>
              </w:rPr>
            </w:pPr>
            <w:r>
              <w:rPr>
                <w:rFonts w:ascii="宋体" w:hAnsi="宋体"/>
                <w:sz w:val="24"/>
              </w:rPr>
              <w:t>本项目采购标的对应的中小企业划分标准所属行业：</w:t>
            </w:r>
          </w:p>
          <w:tbl>
            <w:tblPr>
              <w:tblStyle w:val="4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951"/>
              <w:gridCol w:w="4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包号</w:t>
                  </w:r>
                </w:p>
              </w:tc>
              <w:tc>
                <w:tcPr>
                  <w:tcW w:w="1290"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标的名称</w:t>
                  </w:r>
                </w:p>
              </w:tc>
              <w:tc>
                <w:tcPr>
                  <w:tcW w:w="3251"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58"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01</w:t>
                  </w:r>
                </w:p>
              </w:tc>
              <w:tc>
                <w:tcPr>
                  <w:tcW w:w="1290" w:type="pct"/>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kern w:val="0"/>
                      <w:sz w:val="24"/>
                    </w:rPr>
                    <w:t>灭火器检修及消防器材购置</w:t>
                  </w:r>
                </w:p>
              </w:tc>
              <w:tc>
                <w:tcPr>
                  <w:tcW w:w="3251" w:type="pct"/>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kern w:val="0"/>
                      <w:sz w:val="24"/>
                    </w:rPr>
                    <w:t>其他未列明行业</w:t>
                  </w:r>
                </w:p>
              </w:tc>
            </w:tr>
          </w:tbl>
          <w:p>
            <w:pPr>
              <w:spacing w:line="288"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23"/>
              <w:adjustRightInd w:val="0"/>
              <w:snapToGrid w:val="0"/>
              <w:spacing w:line="288" w:lineRule="auto"/>
              <w:jc w:val="center"/>
              <w:rPr>
                <w:rFonts w:hint="default" w:hAnsi="宋体"/>
                <w:sz w:val="24"/>
                <w:szCs w:val="24"/>
              </w:rPr>
            </w:pPr>
            <w:r>
              <w:rPr>
                <w:rFonts w:hAnsi="宋体"/>
                <w:sz w:val="24"/>
                <w:szCs w:val="24"/>
              </w:rPr>
              <w:t>1</w:t>
            </w:r>
            <w:r>
              <w:rPr>
                <w:rFonts w:hint="default" w:hAnsi="宋体"/>
                <w:sz w:val="24"/>
                <w:szCs w:val="24"/>
              </w:rPr>
              <w:t>1.2</w:t>
            </w:r>
          </w:p>
        </w:tc>
        <w:tc>
          <w:tcPr>
            <w:tcW w:w="1701" w:type="dxa"/>
            <w:vAlign w:val="center"/>
          </w:tcPr>
          <w:p>
            <w:pPr>
              <w:spacing w:line="288" w:lineRule="auto"/>
              <w:jc w:val="center"/>
              <w:rPr>
                <w:rFonts w:ascii="宋体" w:hAnsi="宋体"/>
                <w:sz w:val="24"/>
              </w:rPr>
            </w:pPr>
            <w:r>
              <w:rPr>
                <w:rFonts w:hint="eastAsia" w:ascii="宋体" w:hAnsi="宋体"/>
                <w:sz w:val="24"/>
              </w:rPr>
              <w:t>响应报价</w:t>
            </w:r>
          </w:p>
        </w:tc>
        <w:tc>
          <w:tcPr>
            <w:tcW w:w="7540" w:type="dxa"/>
            <w:vAlign w:val="center"/>
          </w:tcPr>
          <w:p>
            <w:pPr>
              <w:spacing w:line="288" w:lineRule="auto"/>
              <w:jc w:val="left"/>
              <w:rPr>
                <w:rFonts w:ascii="宋体" w:hAnsi="宋体"/>
                <w:sz w:val="24"/>
              </w:rPr>
            </w:pPr>
            <w:r>
              <w:rPr>
                <w:rFonts w:hint="eastAsia" w:ascii="宋体" w:hAnsi="宋体"/>
                <w:sz w:val="24"/>
              </w:rPr>
              <w:t>响应报价的特殊规定：</w:t>
            </w:r>
          </w:p>
          <w:p>
            <w:pPr>
              <w:spacing w:line="288" w:lineRule="auto"/>
              <w:jc w:val="left"/>
              <w:rPr>
                <w:rFonts w:ascii="宋体" w:hAnsi="宋体"/>
                <w:sz w:val="24"/>
              </w:rPr>
            </w:pPr>
            <w:r>
              <w:rPr>
                <w:rFonts w:ascii="宋体" w:hAnsi="宋体"/>
                <w:b/>
                <w:color w:val="000000"/>
                <w:sz w:val="24"/>
              </w:rPr>
              <w:t>■</w:t>
            </w:r>
            <w:r>
              <w:rPr>
                <w:rFonts w:ascii="宋体" w:hAnsi="宋体"/>
                <w:sz w:val="24"/>
              </w:rPr>
              <w:t>无</w:t>
            </w:r>
          </w:p>
          <w:p>
            <w:pPr>
              <w:spacing w:line="288" w:lineRule="auto"/>
              <w:jc w:val="left"/>
              <w:rPr>
                <w:rFonts w:ascii="宋体" w:hAnsi="宋体"/>
                <w:sz w:val="24"/>
                <w:u w:val="single"/>
              </w:rPr>
            </w:pPr>
            <w:r>
              <w:rPr>
                <w:rFonts w:ascii="宋体" w:hAnsi="宋体"/>
                <w:sz w:val="24"/>
              </w:rPr>
              <w:t xml:space="preserve">□有，具体情形： </w:t>
            </w:r>
            <w:r>
              <w:rPr>
                <w:rFonts w:hint="eastAsia" w:ascii="宋体" w:hAnsi="宋体"/>
                <w:sz w:val="24"/>
                <w:u w:val="single"/>
              </w:rPr>
              <w:t xml:space="preserve"> </w:t>
            </w:r>
            <w:r>
              <w:rPr>
                <w:rFonts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23"/>
              <w:adjustRightInd w:val="0"/>
              <w:snapToGrid w:val="0"/>
              <w:spacing w:line="288" w:lineRule="auto"/>
              <w:jc w:val="center"/>
              <w:rPr>
                <w:rFonts w:hint="default" w:hAnsi="宋体"/>
                <w:sz w:val="24"/>
                <w:szCs w:val="24"/>
              </w:rPr>
            </w:pPr>
            <w:r>
              <w:rPr>
                <w:rFonts w:hint="default" w:hAnsi="宋体"/>
                <w:sz w:val="24"/>
                <w:szCs w:val="24"/>
              </w:rPr>
              <w:t>12.1</w:t>
            </w:r>
          </w:p>
        </w:tc>
        <w:tc>
          <w:tcPr>
            <w:tcW w:w="1701" w:type="dxa"/>
            <w:vMerge w:val="restart"/>
            <w:vAlign w:val="center"/>
          </w:tcPr>
          <w:p>
            <w:pPr>
              <w:spacing w:line="288" w:lineRule="auto"/>
              <w:jc w:val="center"/>
              <w:rPr>
                <w:rFonts w:ascii="宋体" w:hAnsi="宋体"/>
                <w:sz w:val="24"/>
              </w:rPr>
            </w:pPr>
            <w:r>
              <w:rPr>
                <w:rFonts w:hint="eastAsia" w:ascii="宋体" w:hAnsi="宋体"/>
                <w:sz w:val="24"/>
              </w:rPr>
              <w:t>报价保证金</w:t>
            </w:r>
          </w:p>
        </w:tc>
        <w:tc>
          <w:tcPr>
            <w:tcW w:w="7540" w:type="dxa"/>
            <w:vAlign w:val="center"/>
          </w:tcPr>
          <w:p>
            <w:pPr>
              <w:pStyle w:val="23"/>
              <w:adjustRightInd w:val="0"/>
              <w:snapToGrid w:val="0"/>
              <w:spacing w:line="288" w:lineRule="auto"/>
              <w:rPr>
                <w:rFonts w:hint="default" w:hAnsi="宋体"/>
                <w:sz w:val="24"/>
                <w:szCs w:val="24"/>
              </w:rPr>
            </w:pPr>
            <w:r>
              <w:rPr>
                <w:rFonts w:hAnsi="宋体"/>
                <w:sz w:val="24"/>
                <w:szCs w:val="24"/>
              </w:rPr>
              <w:t>报价保证金</w:t>
            </w:r>
            <w:r>
              <w:rPr>
                <w:rFonts w:hint="default" w:hAnsi="宋体"/>
                <w:sz w:val="24"/>
                <w:szCs w:val="24"/>
              </w:rPr>
              <w:t>金额：</w:t>
            </w:r>
          </w:p>
          <w:p>
            <w:pPr>
              <w:pStyle w:val="23"/>
              <w:adjustRightInd w:val="0"/>
              <w:snapToGrid w:val="0"/>
              <w:spacing w:line="288" w:lineRule="auto"/>
              <w:rPr>
                <w:rFonts w:hint="default" w:hAnsi="宋体"/>
                <w:sz w:val="24"/>
                <w:szCs w:val="24"/>
              </w:rPr>
            </w:pPr>
            <w:r>
              <w:rPr>
                <w:rFonts w:hint="default" w:hAnsi="宋体"/>
                <w:sz w:val="24"/>
                <w:szCs w:val="24"/>
              </w:rPr>
              <w:t>01包：</w:t>
            </w:r>
            <w:r>
              <w:rPr>
                <w:rFonts w:hAnsi="宋体"/>
                <w:sz w:val="24"/>
                <w:u w:val="single"/>
              </w:rPr>
              <w:t>人民币18000</w:t>
            </w:r>
            <w:r>
              <w:rPr>
                <w:rFonts w:hAnsi="宋体"/>
                <w:sz w:val="24"/>
              </w:rPr>
              <w:t>元</w:t>
            </w:r>
            <w:r>
              <w:rPr>
                <w:rFonts w:hint="default" w:hAnsi="宋体"/>
                <w:sz w:val="24"/>
                <w:szCs w:val="24"/>
              </w:rPr>
              <w:t>；</w:t>
            </w:r>
          </w:p>
          <w:p>
            <w:pPr>
              <w:spacing w:line="288" w:lineRule="auto"/>
              <w:jc w:val="left"/>
              <w:rPr>
                <w:rFonts w:ascii="宋体" w:hAnsi="宋体"/>
                <w:sz w:val="24"/>
                <w:u w:val="single"/>
              </w:rPr>
            </w:pPr>
            <w:r>
              <w:rPr>
                <w:rFonts w:hint="eastAsia" w:ascii="宋体" w:hAnsi="宋体"/>
                <w:sz w:val="24"/>
              </w:rPr>
              <w:t>报价保证金</w:t>
            </w:r>
            <w:r>
              <w:rPr>
                <w:rFonts w:ascii="宋体" w:hAnsi="宋体"/>
                <w:sz w:val="24"/>
              </w:rPr>
              <w:t>收受人信息：</w:t>
            </w:r>
          </w:p>
          <w:p>
            <w:pPr>
              <w:spacing w:line="288" w:lineRule="auto"/>
              <w:jc w:val="left"/>
              <w:rPr>
                <w:sz w:val="24"/>
              </w:rPr>
            </w:pPr>
            <w:r>
              <w:rPr>
                <w:rFonts w:hint="eastAsia"/>
                <w:sz w:val="24"/>
              </w:rPr>
              <w:t>账户名称：北京明德致信咨询有限公司</w:t>
            </w:r>
          </w:p>
          <w:p>
            <w:pPr>
              <w:spacing w:line="288" w:lineRule="auto"/>
              <w:jc w:val="left"/>
              <w:rPr>
                <w:sz w:val="24"/>
              </w:rPr>
            </w:pPr>
            <w:r>
              <w:rPr>
                <w:rFonts w:hint="eastAsia"/>
                <w:sz w:val="24"/>
              </w:rPr>
              <w:t>开 户 行：中国工商银行股份有限公司北京东升路支行</w:t>
            </w:r>
          </w:p>
          <w:p>
            <w:pPr>
              <w:spacing w:line="288" w:lineRule="auto"/>
              <w:jc w:val="left"/>
              <w:rPr>
                <w:sz w:val="24"/>
              </w:rPr>
            </w:pPr>
            <w:r>
              <w:rPr>
                <w:rFonts w:hint="eastAsia"/>
                <w:sz w:val="24"/>
              </w:rPr>
              <w:t>账    号：0200 0062 1920 0492 968</w:t>
            </w:r>
            <w:r>
              <w:rPr>
                <w:sz w:val="24"/>
              </w:rPr>
              <w:t xml:space="preserve"> </w:t>
            </w:r>
          </w:p>
          <w:p>
            <w:pPr>
              <w:spacing w:line="288" w:lineRule="auto"/>
              <w:jc w:val="left"/>
              <w:rPr>
                <w:rFonts w:ascii="宋体" w:hAnsi="宋体"/>
                <w:sz w:val="24"/>
              </w:rPr>
            </w:pPr>
            <w:r>
              <w:rPr>
                <w:rFonts w:hint="eastAsia" w:ascii="宋体" w:hAnsi="宋体"/>
                <w:sz w:val="24"/>
              </w:rPr>
              <w:t>注：汇款或转账时请务必附言“项目编号+用途”，例如：ZC23-0179保证金。</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23"/>
              <w:adjustRightInd w:val="0"/>
              <w:snapToGrid w:val="0"/>
              <w:spacing w:line="288" w:lineRule="auto"/>
              <w:jc w:val="center"/>
              <w:rPr>
                <w:rFonts w:hint="default" w:hAnsi="宋体"/>
                <w:sz w:val="24"/>
                <w:szCs w:val="24"/>
              </w:rPr>
            </w:pPr>
            <w:r>
              <w:rPr>
                <w:rFonts w:hint="default" w:hAnsi="宋体"/>
                <w:sz w:val="24"/>
                <w:szCs w:val="24"/>
              </w:rPr>
              <w:t>12.7.2</w:t>
            </w:r>
          </w:p>
        </w:tc>
        <w:tc>
          <w:tcPr>
            <w:tcW w:w="1701" w:type="dxa"/>
            <w:vMerge w:val="continue"/>
            <w:vAlign w:val="center"/>
          </w:tcPr>
          <w:p>
            <w:pPr>
              <w:spacing w:line="288" w:lineRule="auto"/>
              <w:jc w:val="center"/>
              <w:rPr>
                <w:rFonts w:ascii="宋体" w:hAnsi="宋体"/>
                <w:sz w:val="24"/>
              </w:rPr>
            </w:pPr>
          </w:p>
        </w:tc>
        <w:tc>
          <w:tcPr>
            <w:tcW w:w="7540" w:type="dxa"/>
            <w:vAlign w:val="center"/>
          </w:tcPr>
          <w:p>
            <w:pPr>
              <w:spacing w:line="288" w:lineRule="auto"/>
              <w:jc w:val="left"/>
              <w:rPr>
                <w:rFonts w:ascii="宋体" w:hAnsi="宋体"/>
                <w:sz w:val="24"/>
              </w:rPr>
            </w:pPr>
            <w:r>
              <w:rPr>
                <w:rFonts w:hint="eastAsia" w:ascii="宋体" w:hAnsi="宋体"/>
                <w:sz w:val="24"/>
              </w:rPr>
              <w:t>报价保证金</w:t>
            </w:r>
            <w:r>
              <w:rPr>
                <w:rFonts w:ascii="宋体" w:hAnsi="宋体"/>
                <w:sz w:val="24"/>
              </w:rPr>
              <w:t>可以不予退还的其他情形：</w:t>
            </w:r>
          </w:p>
          <w:p>
            <w:pPr>
              <w:spacing w:line="288" w:lineRule="auto"/>
              <w:jc w:val="left"/>
              <w:rPr>
                <w:rFonts w:ascii="宋体" w:hAnsi="宋体"/>
                <w:sz w:val="24"/>
              </w:rPr>
            </w:pPr>
            <w:r>
              <w:rPr>
                <w:rFonts w:ascii="宋体" w:hAnsi="宋体"/>
                <w:sz w:val="24"/>
              </w:rPr>
              <w:t>□无</w:t>
            </w:r>
          </w:p>
          <w:p>
            <w:pPr>
              <w:pStyle w:val="23"/>
              <w:adjustRightInd w:val="0"/>
              <w:snapToGrid w:val="0"/>
              <w:spacing w:line="288" w:lineRule="auto"/>
              <w:rPr>
                <w:rFonts w:hint="default" w:hAnsi="宋体"/>
                <w:sz w:val="24"/>
                <w:szCs w:val="24"/>
              </w:rPr>
            </w:pPr>
            <w:r>
              <w:rPr>
                <w:rFonts w:hAnsi="宋体"/>
                <w:b/>
                <w:color w:val="000000"/>
                <w:sz w:val="24"/>
                <w:szCs w:val="24"/>
              </w:rPr>
              <w:t>■</w:t>
            </w:r>
            <w:r>
              <w:rPr>
                <w:rFonts w:hint="default" w:hAnsi="宋体"/>
                <w:sz w:val="24"/>
                <w:szCs w:val="24"/>
              </w:rPr>
              <w:t>有，具体情形：</w:t>
            </w:r>
          </w:p>
          <w:p>
            <w:pPr>
              <w:pStyle w:val="23"/>
              <w:tabs>
                <w:tab w:val="left" w:pos="2240"/>
              </w:tabs>
              <w:spacing w:line="360" w:lineRule="auto"/>
              <w:rPr>
                <w:rFonts w:hint="default" w:hAnsi="宋体"/>
                <w:sz w:val="24"/>
                <w:szCs w:val="24"/>
              </w:rPr>
            </w:pPr>
            <w:r>
              <w:rPr>
                <w:rFonts w:hAnsi="宋体"/>
                <w:sz w:val="24"/>
                <w:szCs w:val="24"/>
              </w:rPr>
              <w:t>（1）在开选之日后到报价有效期满前，供应商因自身原因撤回响应文件的；</w:t>
            </w:r>
          </w:p>
          <w:p>
            <w:pPr>
              <w:pStyle w:val="23"/>
              <w:tabs>
                <w:tab w:val="left" w:pos="2240"/>
              </w:tabs>
              <w:spacing w:line="360" w:lineRule="auto"/>
              <w:rPr>
                <w:rFonts w:hint="default" w:hAnsi="宋体"/>
                <w:sz w:val="24"/>
                <w:szCs w:val="24"/>
              </w:rPr>
            </w:pPr>
            <w:r>
              <w:rPr>
                <w:rFonts w:hAnsi="宋体"/>
                <w:sz w:val="24"/>
                <w:szCs w:val="24"/>
              </w:rPr>
              <w:t>（2）供应商以他人名义响应、相互串通响应或者以其他方式弄虚作假的，供应商提交的响应文件中提交虚假资料或失实资料的；</w:t>
            </w:r>
          </w:p>
          <w:p>
            <w:pPr>
              <w:pStyle w:val="23"/>
              <w:tabs>
                <w:tab w:val="left" w:pos="2240"/>
              </w:tabs>
              <w:spacing w:line="360" w:lineRule="auto"/>
              <w:rPr>
                <w:rFonts w:hint="default" w:hAnsi="宋体"/>
                <w:sz w:val="24"/>
                <w:szCs w:val="24"/>
              </w:rPr>
            </w:pPr>
            <w:r>
              <w:rPr>
                <w:rFonts w:hAnsi="宋体"/>
                <w:sz w:val="24"/>
                <w:szCs w:val="24"/>
              </w:rPr>
              <w:t>（3）除因不可抗力或比选文件认可的情形以外，成交人放弃成交或者不按比选文件规定与采购人签订合同的；</w:t>
            </w:r>
          </w:p>
          <w:p>
            <w:pPr>
              <w:pStyle w:val="23"/>
              <w:tabs>
                <w:tab w:val="left" w:pos="2240"/>
              </w:tabs>
              <w:spacing w:line="360" w:lineRule="auto"/>
              <w:rPr>
                <w:rFonts w:hint="default" w:hAnsi="宋体"/>
                <w:sz w:val="24"/>
                <w:szCs w:val="24"/>
              </w:rPr>
            </w:pPr>
            <w:r>
              <w:rPr>
                <w:rFonts w:hAnsi="宋体"/>
                <w:sz w:val="24"/>
                <w:szCs w:val="24"/>
              </w:rPr>
              <w:t>（4）成交人未按比选文件规定缴纳代理费的；</w:t>
            </w:r>
          </w:p>
          <w:p>
            <w:pPr>
              <w:pStyle w:val="23"/>
              <w:tabs>
                <w:tab w:val="left" w:pos="2240"/>
              </w:tabs>
              <w:spacing w:line="360" w:lineRule="auto"/>
              <w:rPr>
                <w:rFonts w:hint="default" w:hAnsi="宋体"/>
                <w:sz w:val="24"/>
                <w:szCs w:val="24"/>
              </w:rPr>
            </w:pPr>
            <w:r>
              <w:rPr>
                <w:rFonts w:hAnsi="宋体"/>
                <w:sz w:val="24"/>
                <w:szCs w:val="24"/>
              </w:rPr>
              <w:t>（5）比选文件规定的其他情形。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23"/>
              <w:adjustRightInd w:val="0"/>
              <w:snapToGrid w:val="0"/>
              <w:spacing w:line="288" w:lineRule="auto"/>
              <w:jc w:val="center"/>
              <w:rPr>
                <w:rFonts w:hint="default" w:hAnsi="宋体"/>
                <w:sz w:val="24"/>
                <w:szCs w:val="24"/>
              </w:rPr>
            </w:pPr>
            <w:r>
              <w:rPr>
                <w:rFonts w:hint="default" w:hAnsi="宋体"/>
                <w:sz w:val="24"/>
                <w:szCs w:val="24"/>
              </w:rPr>
              <w:t>13.1</w:t>
            </w:r>
          </w:p>
        </w:tc>
        <w:tc>
          <w:tcPr>
            <w:tcW w:w="1701" w:type="dxa"/>
            <w:vAlign w:val="center"/>
          </w:tcPr>
          <w:p>
            <w:pPr>
              <w:spacing w:line="288" w:lineRule="auto"/>
              <w:jc w:val="center"/>
              <w:rPr>
                <w:rFonts w:ascii="宋体" w:hAnsi="宋体"/>
                <w:sz w:val="24"/>
              </w:rPr>
            </w:pPr>
            <w:r>
              <w:rPr>
                <w:rFonts w:hint="eastAsia" w:ascii="宋体" w:hAnsi="宋体"/>
                <w:sz w:val="24"/>
              </w:rPr>
              <w:t>报价有效期</w:t>
            </w:r>
          </w:p>
        </w:tc>
        <w:tc>
          <w:tcPr>
            <w:tcW w:w="7540" w:type="dxa"/>
            <w:vAlign w:val="center"/>
          </w:tcPr>
          <w:p>
            <w:pPr>
              <w:spacing w:line="288" w:lineRule="auto"/>
              <w:jc w:val="left"/>
              <w:rPr>
                <w:rFonts w:ascii="宋体" w:hAnsi="宋体"/>
                <w:sz w:val="24"/>
              </w:rPr>
            </w:pPr>
            <w:r>
              <w:rPr>
                <w:rFonts w:ascii="宋体" w:hAnsi="宋体"/>
                <w:sz w:val="24"/>
              </w:rPr>
              <w:t>自提交</w:t>
            </w:r>
            <w:r>
              <w:rPr>
                <w:rFonts w:hint="eastAsia" w:ascii="宋体" w:hAnsi="宋体"/>
                <w:sz w:val="24"/>
              </w:rPr>
              <w:t>响应文件</w:t>
            </w:r>
            <w:r>
              <w:rPr>
                <w:rFonts w:ascii="宋体" w:hAnsi="宋体"/>
                <w:sz w:val="24"/>
              </w:rPr>
              <w:t>的截止之日起算</w:t>
            </w:r>
            <w:r>
              <w:rPr>
                <w:rFonts w:ascii="宋体" w:hAnsi="宋体"/>
                <w:sz w:val="24"/>
                <w:u w:val="single"/>
              </w:rPr>
              <w:t>90</w:t>
            </w:r>
            <w:r>
              <w:rPr>
                <w:rFonts w:ascii="宋体" w:hAnsi="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23"/>
              <w:adjustRightInd w:val="0"/>
              <w:snapToGrid w:val="0"/>
              <w:spacing w:line="288" w:lineRule="auto"/>
              <w:jc w:val="center"/>
              <w:rPr>
                <w:rFonts w:hint="default" w:hAnsi="宋体"/>
                <w:sz w:val="24"/>
                <w:szCs w:val="24"/>
              </w:rPr>
            </w:pPr>
            <w:r>
              <w:rPr>
                <w:rFonts w:hAnsi="宋体"/>
                <w:sz w:val="24"/>
                <w:szCs w:val="24"/>
              </w:rPr>
              <w:t>1</w:t>
            </w:r>
            <w:r>
              <w:rPr>
                <w:rFonts w:hint="default" w:hAnsi="宋体"/>
                <w:sz w:val="24"/>
                <w:szCs w:val="24"/>
              </w:rPr>
              <w:t>4.1</w:t>
            </w:r>
          </w:p>
        </w:tc>
        <w:tc>
          <w:tcPr>
            <w:tcW w:w="1701" w:type="dxa"/>
            <w:vAlign w:val="center"/>
          </w:tcPr>
          <w:p>
            <w:pPr>
              <w:spacing w:line="288" w:lineRule="auto"/>
              <w:jc w:val="center"/>
              <w:rPr>
                <w:rFonts w:ascii="宋体" w:hAnsi="宋体"/>
                <w:sz w:val="24"/>
              </w:rPr>
            </w:pPr>
            <w:r>
              <w:rPr>
                <w:rFonts w:hint="eastAsia" w:ascii="宋体" w:hAnsi="宋体"/>
                <w:sz w:val="24"/>
              </w:rPr>
              <w:t>响应文件份数</w:t>
            </w:r>
          </w:p>
        </w:tc>
        <w:tc>
          <w:tcPr>
            <w:tcW w:w="7540" w:type="dxa"/>
            <w:vAlign w:val="center"/>
          </w:tcPr>
          <w:p>
            <w:pPr>
              <w:spacing w:line="360" w:lineRule="auto"/>
              <w:rPr>
                <w:rFonts w:ascii="宋体" w:hAnsi="宋体"/>
                <w:sz w:val="24"/>
              </w:rPr>
            </w:pPr>
            <w:r>
              <w:rPr>
                <w:rFonts w:hint="eastAsia" w:ascii="宋体" w:hAnsi="宋体"/>
                <w:sz w:val="24"/>
              </w:rPr>
              <w:t>响应文件：正本：</w:t>
            </w:r>
            <w:r>
              <w:rPr>
                <w:rFonts w:ascii="宋体" w:hAnsi="宋体"/>
                <w:sz w:val="24"/>
              </w:rPr>
              <w:t>1份；副本：</w:t>
            </w:r>
            <w:r>
              <w:rPr>
                <w:rFonts w:hint="eastAsia" w:ascii="宋体" w:hAnsi="宋体"/>
                <w:sz w:val="24"/>
              </w:rPr>
              <w:t>2</w:t>
            </w:r>
            <w:r>
              <w:rPr>
                <w:rFonts w:ascii="宋体" w:hAnsi="宋体"/>
                <w:sz w:val="24"/>
              </w:rPr>
              <w:t>份；电子版：1份</w:t>
            </w:r>
            <w:r>
              <w:rPr>
                <w:rFonts w:hint="eastAsia" w:ascii="宋体" w:hAnsi="宋体"/>
                <w:sz w:val="24"/>
              </w:rPr>
              <w:t>；</w:t>
            </w:r>
          </w:p>
          <w:p>
            <w:pPr>
              <w:spacing w:line="360" w:lineRule="auto"/>
              <w:rPr>
                <w:rFonts w:ascii="宋体" w:hAnsi="宋体"/>
                <w:sz w:val="24"/>
              </w:rPr>
            </w:pPr>
            <w:r>
              <w:rPr>
                <w:rFonts w:hint="eastAsia" w:ascii="宋体" w:hAnsi="宋体"/>
                <w:sz w:val="24"/>
              </w:rPr>
              <w:t>电子版内容为响应文件的word格式可编辑版本和正本签字盖章后扫描的PDF文本格式，电子版响应文件以U盘形式提交。</w:t>
            </w:r>
          </w:p>
          <w:p>
            <w:pPr>
              <w:spacing w:line="360" w:lineRule="auto"/>
              <w:rPr>
                <w:rFonts w:ascii="宋体" w:hAnsi="宋体"/>
                <w:sz w:val="24"/>
              </w:rPr>
            </w:pPr>
            <w:r>
              <w:rPr>
                <w:rFonts w:hint="eastAsia" w:ascii="宋体" w:hAnsi="宋体"/>
                <w:sz w:val="24"/>
              </w:rPr>
              <w:t>此外，还应提交单独密封的开选一览表和报价保证金各1份。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23"/>
              <w:adjustRightInd w:val="0"/>
              <w:snapToGrid w:val="0"/>
              <w:spacing w:line="288" w:lineRule="auto"/>
              <w:jc w:val="center"/>
              <w:rPr>
                <w:rFonts w:hint="default" w:hAnsi="宋体"/>
                <w:color w:val="000000"/>
                <w:sz w:val="24"/>
                <w:szCs w:val="24"/>
              </w:rPr>
            </w:pPr>
            <w:r>
              <w:rPr>
                <w:rFonts w:hint="default" w:hAnsi="宋体"/>
                <w:color w:val="000000"/>
                <w:sz w:val="24"/>
                <w:szCs w:val="24"/>
              </w:rPr>
              <w:t>22.1</w:t>
            </w:r>
          </w:p>
        </w:tc>
        <w:tc>
          <w:tcPr>
            <w:tcW w:w="1701" w:type="dxa"/>
            <w:vAlign w:val="center"/>
          </w:tcPr>
          <w:p>
            <w:pPr>
              <w:spacing w:line="288" w:lineRule="auto"/>
              <w:jc w:val="center"/>
              <w:rPr>
                <w:rFonts w:ascii="宋体" w:hAnsi="宋体"/>
                <w:color w:val="000000"/>
                <w:sz w:val="24"/>
              </w:rPr>
            </w:pPr>
            <w:r>
              <w:rPr>
                <w:rFonts w:ascii="宋体" w:hAnsi="宋体"/>
                <w:color w:val="000000"/>
                <w:sz w:val="24"/>
              </w:rPr>
              <w:t>确定</w:t>
            </w:r>
            <w:r>
              <w:rPr>
                <w:rFonts w:hint="eastAsia" w:ascii="宋体" w:hAnsi="宋体"/>
                <w:color w:val="000000"/>
                <w:sz w:val="24"/>
              </w:rPr>
              <w:t>成交人</w:t>
            </w:r>
          </w:p>
        </w:tc>
        <w:tc>
          <w:tcPr>
            <w:tcW w:w="7540" w:type="dxa"/>
            <w:vAlign w:val="center"/>
          </w:tcPr>
          <w:p>
            <w:pPr>
              <w:pStyle w:val="23"/>
              <w:adjustRightInd w:val="0"/>
              <w:snapToGrid w:val="0"/>
              <w:spacing w:line="288" w:lineRule="auto"/>
              <w:rPr>
                <w:rFonts w:hint="default" w:hAnsi="宋体"/>
                <w:sz w:val="24"/>
                <w:szCs w:val="24"/>
              </w:rPr>
            </w:pPr>
            <w:r>
              <w:rPr>
                <w:rFonts w:hAnsi="宋体"/>
                <w:sz w:val="24"/>
                <w:szCs w:val="24"/>
              </w:rPr>
              <w:t>成交</w:t>
            </w:r>
            <w:r>
              <w:rPr>
                <w:rFonts w:hint="default" w:hAnsi="宋体"/>
                <w:sz w:val="24"/>
                <w:szCs w:val="24"/>
              </w:rPr>
              <w:t>候选人并列的，采购人是否委托评标委员会确定</w:t>
            </w:r>
            <w:r>
              <w:rPr>
                <w:rFonts w:hAnsi="宋体"/>
                <w:sz w:val="24"/>
                <w:szCs w:val="24"/>
              </w:rPr>
              <w:t>成交人</w:t>
            </w:r>
            <w:r>
              <w:rPr>
                <w:rFonts w:hint="default" w:hAnsi="宋体"/>
                <w:sz w:val="24"/>
                <w:szCs w:val="24"/>
              </w:rPr>
              <w:t>：</w:t>
            </w:r>
          </w:p>
          <w:p>
            <w:pPr>
              <w:pStyle w:val="23"/>
              <w:adjustRightInd w:val="0"/>
              <w:snapToGrid w:val="0"/>
              <w:spacing w:line="288" w:lineRule="auto"/>
              <w:rPr>
                <w:rFonts w:hint="default" w:hAnsi="宋体"/>
                <w:sz w:val="24"/>
                <w:szCs w:val="24"/>
              </w:rPr>
            </w:pPr>
            <w:r>
              <w:rPr>
                <w:rFonts w:hAnsi="宋体"/>
                <w:b/>
                <w:color w:val="000000"/>
                <w:sz w:val="24"/>
                <w:szCs w:val="24"/>
              </w:rPr>
              <w:t>■</w:t>
            </w:r>
            <w:r>
              <w:rPr>
                <w:rFonts w:hint="default" w:hAnsi="宋体"/>
                <w:sz w:val="24"/>
                <w:szCs w:val="24"/>
              </w:rPr>
              <w:t>否</w:t>
            </w:r>
          </w:p>
          <w:p>
            <w:pPr>
              <w:pStyle w:val="23"/>
              <w:adjustRightInd w:val="0"/>
              <w:snapToGrid w:val="0"/>
              <w:spacing w:line="288" w:lineRule="auto"/>
              <w:rPr>
                <w:rFonts w:hint="default" w:hAnsi="宋体"/>
                <w:sz w:val="24"/>
                <w:szCs w:val="24"/>
              </w:rPr>
            </w:pPr>
            <w:r>
              <w:rPr>
                <w:rFonts w:hint="default" w:hAnsi="宋体"/>
                <w:sz w:val="24"/>
                <w:szCs w:val="24"/>
              </w:rPr>
              <w:t>□是</w:t>
            </w:r>
          </w:p>
          <w:p>
            <w:pPr>
              <w:pStyle w:val="23"/>
              <w:adjustRightInd w:val="0"/>
              <w:snapToGrid w:val="0"/>
              <w:spacing w:line="288" w:lineRule="auto"/>
              <w:rPr>
                <w:rFonts w:hint="default" w:hAnsi="宋体"/>
                <w:sz w:val="24"/>
                <w:szCs w:val="24"/>
              </w:rPr>
            </w:pPr>
            <w:r>
              <w:rPr>
                <w:rFonts w:hAnsi="宋体"/>
                <w:sz w:val="24"/>
                <w:szCs w:val="24"/>
              </w:rPr>
              <w:t>成交</w:t>
            </w:r>
            <w:r>
              <w:rPr>
                <w:rFonts w:hint="default" w:hAnsi="宋体"/>
                <w:sz w:val="24"/>
                <w:szCs w:val="24"/>
              </w:rPr>
              <w:t>候选人并列的，按照以下方式确定</w:t>
            </w:r>
            <w:r>
              <w:rPr>
                <w:rFonts w:hAnsi="宋体"/>
                <w:sz w:val="24"/>
                <w:szCs w:val="24"/>
              </w:rPr>
              <w:t>成交人</w:t>
            </w:r>
            <w:r>
              <w:rPr>
                <w:rFonts w:hint="default" w:hAnsi="宋体"/>
                <w:sz w:val="24"/>
                <w:szCs w:val="24"/>
              </w:rPr>
              <w:t>：</w:t>
            </w:r>
          </w:p>
          <w:p>
            <w:pPr>
              <w:pStyle w:val="23"/>
              <w:adjustRightInd w:val="0"/>
              <w:snapToGrid w:val="0"/>
              <w:spacing w:line="288" w:lineRule="auto"/>
              <w:rPr>
                <w:rFonts w:hint="default" w:hAnsi="宋体"/>
                <w:sz w:val="24"/>
                <w:szCs w:val="24"/>
              </w:rPr>
            </w:pPr>
            <w:r>
              <w:rPr>
                <w:rFonts w:hAnsi="宋体"/>
                <w:b/>
                <w:color w:val="000000"/>
                <w:sz w:val="24"/>
              </w:rPr>
              <w:t>■</w:t>
            </w:r>
            <w:r>
              <w:rPr>
                <w:rFonts w:hint="default" w:hAnsi="宋体"/>
                <w:sz w:val="24"/>
                <w:szCs w:val="24"/>
              </w:rPr>
              <w:t>得分且</w:t>
            </w:r>
            <w:r>
              <w:rPr>
                <w:rFonts w:hAnsi="宋体"/>
                <w:sz w:val="24"/>
                <w:szCs w:val="24"/>
              </w:rPr>
              <w:t>响应</w:t>
            </w:r>
            <w:r>
              <w:rPr>
                <w:rFonts w:hint="default" w:hAnsi="宋体"/>
                <w:sz w:val="24"/>
                <w:szCs w:val="24"/>
              </w:rPr>
              <w:t>报价均相同的，以</w:t>
            </w:r>
            <w:r>
              <w:rPr>
                <w:rFonts w:hAnsi="宋体"/>
                <w:sz w:val="24"/>
                <w:szCs w:val="24"/>
                <w:u w:val="single"/>
              </w:rPr>
              <w:t>技术部分</w:t>
            </w:r>
            <w:r>
              <w:rPr>
                <w:rFonts w:hint="default" w:hAnsi="宋体"/>
                <w:sz w:val="24"/>
                <w:szCs w:val="24"/>
              </w:rPr>
              <w:t>得分高者为</w:t>
            </w:r>
            <w:r>
              <w:rPr>
                <w:rFonts w:hAnsi="宋体"/>
                <w:sz w:val="24"/>
                <w:szCs w:val="24"/>
              </w:rPr>
              <w:t>成交人</w:t>
            </w:r>
          </w:p>
          <w:p>
            <w:pPr>
              <w:spacing w:line="288" w:lineRule="auto"/>
              <w:jc w:val="left"/>
              <w:rPr>
                <w:rFonts w:ascii="宋体" w:hAnsi="宋体"/>
                <w:sz w:val="24"/>
                <w:u w:val="single"/>
              </w:rPr>
            </w:pPr>
            <w:r>
              <w:rPr>
                <w:rFonts w:ascii="宋体" w:hAnsi="宋体"/>
                <w:sz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23"/>
              <w:adjustRightInd w:val="0"/>
              <w:snapToGrid w:val="0"/>
              <w:spacing w:line="288" w:lineRule="auto"/>
              <w:jc w:val="center"/>
              <w:rPr>
                <w:rFonts w:hint="default" w:hAnsi="宋体"/>
                <w:color w:val="000000"/>
                <w:sz w:val="24"/>
                <w:szCs w:val="24"/>
              </w:rPr>
            </w:pPr>
            <w:r>
              <w:rPr>
                <w:rFonts w:hint="default" w:hAnsi="宋体"/>
                <w:color w:val="000000"/>
                <w:sz w:val="24"/>
                <w:szCs w:val="24"/>
              </w:rPr>
              <w:t>25.5</w:t>
            </w:r>
          </w:p>
        </w:tc>
        <w:tc>
          <w:tcPr>
            <w:tcW w:w="1701" w:type="dxa"/>
            <w:vAlign w:val="center"/>
          </w:tcPr>
          <w:p>
            <w:pPr>
              <w:spacing w:line="288" w:lineRule="auto"/>
              <w:jc w:val="center"/>
              <w:rPr>
                <w:rFonts w:ascii="宋体" w:hAnsi="宋体"/>
                <w:sz w:val="24"/>
              </w:rPr>
            </w:pPr>
            <w:r>
              <w:rPr>
                <w:rFonts w:ascii="宋体" w:hAnsi="宋体"/>
                <w:sz w:val="24"/>
              </w:rPr>
              <w:t>分包</w:t>
            </w:r>
          </w:p>
        </w:tc>
        <w:tc>
          <w:tcPr>
            <w:tcW w:w="7540" w:type="dxa"/>
            <w:vAlign w:val="center"/>
          </w:tcPr>
          <w:p>
            <w:pPr>
              <w:spacing w:line="288" w:lineRule="auto"/>
              <w:jc w:val="left"/>
              <w:rPr>
                <w:rFonts w:ascii="宋体" w:hAnsi="宋体"/>
                <w:sz w:val="24"/>
              </w:rPr>
            </w:pPr>
            <w:r>
              <w:rPr>
                <w:rFonts w:ascii="宋体" w:hAnsi="宋体"/>
                <w:sz w:val="24"/>
              </w:rPr>
              <w:t xml:space="preserve">本项目的非主体、非关键性工作是否允许分包： </w:t>
            </w:r>
          </w:p>
          <w:p>
            <w:pPr>
              <w:spacing w:line="288" w:lineRule="auto"/>
              <w:jc w:val="left"/>
              <w:rPr>
                <w:rFonts w:ascii="宋体" w:hAnsi="宋体"/>
                <w:sz w:val="24"/>
              </w:rPr>
            </w:pPr>
            <w:r>
              <w:rPr>
                <w:rFonts w:ascii="宋体" w:hAnsi="宋体"/>
                <w:b/>
                <w:color w:val="000000"/>
                <w:sz w:val="24"/>
              </w:rPr>
              <w:t>■</w:t>
            </w:r>
            <w:r>
              <w:rPr>
                <w:rFonts w:ascii="宋体" w:hAnsi="宋体"/>
                <w:sz w:val="24"/>
              </w:rPr>
              <w:t>不允许</w:t>
            </w:r>
          </w:p>
          <w:p>
            <w:pPr>
              <w:spacing w:line="288" w:lineRule="auto"/>
              <w:jc w:val="left"/>
              <w:rPr>
                <w:rFonts w:ascii="宋体" w:hAnsi="宋体"/>
                <w:sz w:val="24"/>
              </w:rPr>
            </w:pPr>
            <w:r>
              <w:rPr>
                <w:rFonts w:ascii="宋体" w:hAnsi="宋体"/>
                <w:sz w:val="24"/>
              </w:rPr>
              <w:t>□允许，具体要求：</w:t>
            </w:r>
          </w:p>
          <w:p>
            <w:pPr>
              <w:spacing w:line="288" w:lineRule="auto"/>
              <w:jc w:val="left"/>
              <w:rPr>
                <w:rFonts w:ascii="宋体" w:hAnsi="宋体"/>
                <w:sz w:val="24"/>
              </w:rPr>
            </w:pPr>
            <w:r>
              <w:rPr>
                <w:rFonts w:ascii="宋体" w:hAnsi="宋体"/>
                <w:sz w:val="24"/>
              </w:rPr>
              <w:t>（1）可以分包履行的具体内容：_____；</w:t>
            </w:r>
          </w:p>
          <w:p>
            <w:pPr>
              <w:spacing w:line="288" w:lineRule="auto"/>
              <w:jc w:val="left"/>
              <w:rPr>
                <w:rFonts w:ascii="宋体" w:hAnsi="宋体"/>
                <w:sz w:val="24"/>
              </w:rPr>
            </w:pPr>
            <w:r>
              <w:rPr>
                <w:rFonts w:ascii="宋体" w:hAnsi="宋体"/>
                <w:sz w:val="24"/>
              </w:rPr>
              <w:t>（2）允许分包的金额或者比例：_____；</w:t>
            </w:r>
          </w:p>
          <w:p>
            <w:pPr>
              <w:spacing w:line="288" w:lineRule="auto"/>
              <w:jc w:val="left"/>
              <w:rPr>
                <w:rFonts w:ascii="宋体" w:hAnsi="宋体"/>
                <w:sz w:val="24"/>
                <w:u w:val="single"/>
              </w:rPr>
            </w:pPr>
            <w:r>
              <w:rPr>
                <w:rFonts w:ascii="宋体" w:hAnsi="宋体"/>
                <w:sz w:val="24"/>
              </w:rPr>
              <w:t>（3）其他要求：_____。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23"/>
              <w:adjustRightInd w:val="0"/>
              <w:snapToGrid w:val="0"/>
              <w:spacing w:line="288" w:lineRule="auto"/>
              <w:jc w:val="center"/>
              <w:rPr>
                <w:rFonts w:hint="default" w:hAnsi="宋体"/>
                <w:color w:val="000000"/>
                <w:sz w:val="24"/>
                <w:szCs w:val="24"/>
              </w:rPr>
            </w:pPr>
            <w:r>
              <w:rPr>
                <w:rFonts w:hint="default" w:hAnsi="宋体"/>
                <w:color w:val="000000"/>
                <w:sz w:val="24"/>
                <w:szCs w:val="24"/>
              </w:rPr>
              <w:t>26.1.1</w:t>
            </w:r>
          </w:p>
        </w:tc>
        <w:tc>
          <w:tcPr>
            <w:tcW w:w="1701" w:type="dxa"/>
            <w:vAlign w:val="center"/>
          </w:tcPr>
          <w:p>
            <w:pPr>
              <w:spacing w:line="288" w:lineRule="auto"/>
              <w:jc w:val="center"/>
              <w:rPr>
                <w:rFonts w:ascii="宋体" w:hAnsi="宋体"/>
                <w:sz w:val="24"/>
              </w:rPr>
            </w:pPr>
            <w:r>
              <w:rPr>
                <w:rFonts w:ascii="宋体" w:hAnsi="宋体"/>
                <w:sz w:val="24"/>
              </w:rPr>
              <w:t>询问</w:t>
            </w:r>
          </w:p>
        </w:tc>
        <w:tc>
          <w:tcPr>
            <w:tcW w:w="7540" w:type="dxa"/>
            <w:vAlign w:val="center"/>
          </w:tcPr>
          <w:p>
            <w:pPr>
              <w:spacing w:line="288" w:lineRule="auto"/>
              <w:jc w:val="left"/>
              <w:rPr>
                <w:rFonts w:ascii="宋体" w:hAnsi="宋体"/>
                <w:sz w:val="24"/>
              </w:rPr>
            </w:pPr>
            <w:r>
              <w:rPr>
                <w:rFonts w:ascii="宋体" w:hAnsi="宋体"/>
                <w:sz w:val="24"/>
              </w:rPr>
              <w:t>询问送达形式：</w:t>
            </w:r>
            <w:r>
              <w:rPr>
                <w:rFonts w:hint="eastAsia" w:ascii="宋体" w:hAnsi="宋体"/>
                <w:sz w:val="24"/>
                <w:u w:val="single"/>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23"/>
              <w:adjustRightInd w:val="0"/>
              <w:snapToGrid w:val="0"/>
              <w:spacing w:line="288" w:lineRule="auto"/>
              <w:jc w:val="center"/>
              <w:rPr>
                <w:rFonts w:hint="eastAsia" w:hAnsi="宋体" w:eastAsia="宋体"/>
                <w:color w:val="000000"/>
                <w:sz w:val="24"/>
                <w:szCs w:val="24"/>
                <w:lang w:val="en-US" w:eastAsia="zh-CN"/>
              </w:rPr>
            </w:pPr>
            <w:r>
              <w:rPr>
                <w:rFonts w:hint="default" w:hAnsi="宋体"/>
                <w:color w:val="000000"/>
                <w:sz w:val="24"/>
                <w:szCs w:val="24"/>
              </w:rPr>
              <w:t>26.</w:t>
            </w:r>
            <w:r>
              <w:rPr>
                <w:rFonts w:hint="eastAsia" w:hAnsi="宋体"/>
                <w:color w:val="000000"/>
                <w:sz w:val="24"/>
                <w:szCs w:val="24"/>
                <w:lang w:val="en-US" w:eastAsia="zh-CN"/>
              </w:rPr>
              <w:t>2</w:t>
            </w:r>
          </w:p>
        </w:tc>
        <w:tc>
          <w:tcPr>
            <w:tcW w:w="1701" w:type="dxa"/>
            <w:vAlign w:val="center"/>
          </w:tcPr>
          <w:p>
            <w:pPr>
              <w:spacing w:line="288" w:lineRule="auto"/>
              <w:jc w:val="center"/>
              <w:rPr>
                <w:rFonts w:ascii="宋体" w:hAnsi="宋体"/>
                <w:sz w:val="24"/>
              </w:rPr>
            </w:pPr>
            <w:r>
              <w:rPr>
                <w:rFonts w:ascii="宋体" w:hAnsi="宋体"/>
                <w:sz w:val="24"/>
              </w:rPr>
              <w:t>联系方式</w:t>
            </w:r>
          </w:p>
        </w:tc>
        <w:tc>
          <w:tcPr>
            <w:tcW w:w="7540" w:type="dxa"/>
            <w:vAlign w:val="center"/>
          </w:tcPr>
          <w:p>
            <w:pPr>
              <w:spacing w:line="288" w:lineRule="auto"/>
              <w:jc w:val="left"/>
              <w:rPr>
                <w:rFonts w:ascii="宋体" w:hAnsi="宋体"/>
                <w:sz w:val="24"/>
              </w:rPr>
            </w:pPr>
            <w:r>
              <w:rPr>
                <w:rFonts w:ascii="宋体" w:hAnsi="宋体"/>
                <w:sz w:val="24"/>
              </w:rPr>
              <w:t>接收询问的联系方式</w:t>
            </w:r>
          </w:p>
          <w:p>
            <w:pPr>
              <w:jc w:val="left"/>
              <w:rPr>
                <w:sz w:val="24"/>
              </w:rPr>
            </w:pPr>
            <w:r>
              <w:rPr>
                <w:sz w:val="24"/>
              </w:rPr>
              <w:t>联系部门：</w:t>
            </w:r>
            <w:r>
              <w:rPr>
                <w:rFonts w:hint="eastAsia"/>
                <w:sz w:val="24"/>
                <w:u w:val="single"/>
              </w:rPr>
              <w:t>北京明德致信咨询有限公司</w:t>
            </w:r>
            <w:r>
              <w:rPr>
                <w:sz w:val="24"/>
              </w:rPr>
              <w:t>；</w:t>
            </w:r>
          </w:p>
          <w:p>
            <w:pPr>
              <w:jc w:val="left"/>
              <w:rPr>
                <w:sz w:val="24"/>
              </w:rPr>
            </w:pPr>
            <w:r>
              <w:rPr>
                <w:sz w:val="24"/>
              </w:rPr>
              <w:t>联系电话：</w:t>
            </w:r>
            <w:r>
              <w:rPr>
                <w:rFonts w:hint="eastAsia"/>
                <w:sz w:val="24"/>
                <w:u w:val="single"/>
              </w:rPr>
              <w:t>82370045</w:t>
            </w:r>
            <w:r>
              <w:rPr>
                <w:sz w:val="24"/>
              </w:rPr>
              <w:t>；</w:t>
            </w:r>
          </w:p>
          <w:p>
            <w:pPr>
              <w:spacing w:line="288" w:lineRule="auto"/>
              <w:jc w:val="left"/>
              <w:rPr>
                <w:rFonts w:ascii="宋体" w:hAnsi="宋体"/>
                <w:sz w:val="24"/>
              </w:rPr>
            </w:pPr>
            <w:r>
              <w:rPr>
                <w:sz w:val="24"/>
              </w:rPr>
              <w:t>通讯地址：</w:t>
            </w:r>
            <w:r>
              <w:rPr>
                <w:rFonts w:hint="eastAsia"/>
                <w:sz w:val="24"/>
                <w:u w:val="single"/>
              </w:rPr>
              <w:t>北京市海淀区学院路30号科大天工大厦B座1709</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288" w:lineRule="auto"/>
              <w:jc w:val="center"/>
              <w:rPr>
                <w:rFonts w:hint="default" w:hAnsi="宋体"/>
                <w:color w:val="000000"/>
                <w:sz w:val="24"/>
                <w:szCs w:val="24"/>
              </w:rPr>
            </w:pPr>
            <w:r>
              <w:rPr>
                <w:rFonts w:hint="default" w:hAnsi="宋体"/>
                <w:color w:val="000000"/>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4"/>
              </w:rPr>
            </w:pPr>
            <w:r>
              <w:rPr>
                <w:rFonts w:ascii="宋体" w:hAnsi="宋体"/>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sz w:val="24"/>
              </w:rPr>
            </w:pPr>
            <w:r>
              <w:rPr>
                <w:rFonts w:ascii="宋体" w:hAnsi="宋体"/>
                <w:sz w:val="24"/>
              </w:rPr>
              <w:t>收费对象：</w:t>
            </w:r>
          </w:p>
          <w:p>
            <w:pPr>
              <w:spacing w:line="288" w:lineRule="auto"/>
              <w:jc w:val="left"/>
              <w:rPr>
                <w:rFonts w:ascii="宋体" w:hAnsi="宋体"/>
                <w:sz w:val="24"/>
              </w:rPr>
            </w:pPr>
            <w:r>
              <w:rPr>
                <w:rFonts w:ascii="宋体" w:hAnsi="宋体"/>
                <w:sz w:val="24"/>
              </w:rPr>
              <w:t>□采购人</w:t>
            </w:r>
          </w:p>
          <w:p>
            <w:pPr>
              <w:spacing w:line="288" w:lineRule="auto"/>
              <w:jc w:val="left"/>
              <w:rPr>
                <w:rFonts w:ascii="宋体" w:hAnsi="宋体"/>
                <w:sz w:val="24"/>
              </w:rPr>
            </w:pPr>
            <w:r>
              <w:rPr>
                <w:rFonts w:ascii="宋体" w:hAnsi="宋体"/>
                <w:b/>
                <w:color w:val="000000"/>
                <w:sz w:val="24"/>
              </w:rPr>
              <w:t>■</w:t>
            </w:r>
            <w:r>
              <w:rPr>
                <w:rFonts w:hint="eastAsia" w:ascii="宋体" w:hAnsi="宋体"/>
                <w:sz w:val="24"/>
              </w:rPr>
              <w:t>成交人</w:t>
            </w:r>
          </w:p>
          <w:p>
            <w:pPr>
              <w:spacing w:line="288" w:lineRule="auto"/>
              <w:jc w:val="left"/>
              <w:rPr>
                <w:rFonts w:ascii="宋体" w:hAnsi="宋体"/>
                <w:sz w:val="24"/>
              </w:rPr>
            </w:pPr>
            <w:r>
              <w:rPr>
                <w:rFonts w:ascii="宋体" w:hAnsi="宋体"/>
                <w:sz w:val="24"/>
              </w:rPr>
              <w:t>收费标准：</w:t>
            </w:r>
            <w:r>
              <w:rPr>
                <w:rFonts w:hint="eastAsia" w:ascii="宋体" w:hAnsi="宋体"/>
                <w:sz w:val="24"/>
                <w:u w:val="single"/>
              </w:rPr>
              <w:t>参照《招标代理服务收费管理暂行办法》（计价格[2002]1980号）及《国家发展改革委办公厅关于招标代理服务收费有关问题的通知》（发改办价格[2003]857号）执行，按成交金额差额定率累进法计算，计费基数为预估合同总额（即项目预算）</w:t>
            </w:r>
            <w:r>
              <w:rPr>
                <w:rFonts w:ascii="宋体" w:hAnsi="宋体"/>
                <w:sz w:val="24"/>
              </w:rPr>
              <w:t>；</w:t>
            </w:r>
          </w:p>
          <w:tbl>
            <w:tblPr>
              <w:tblStyle w:val="40"/>
              <w:tblW w:w="7561"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047"/>
              <w:gridCol w:w="45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3" w:hRule="atLeast"/>
                <w:tblCellSpacing w:w="0" w:type="dxa"/>
                <w:jc w:val="center"/>
              </w:trPr>
              <w:tc>
                <w:tcPr>
                  <w:tcW w:w="304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88" w:lineRule="auto"/>
                    <w:jc w:val="center"/>
                    <w:rPr>
                      <w:b/>
                      <w:bCs/>
                      <w:szCs w:val="18"/>
                    </w:rPr>
                  </w:pPr>
                  <w:r>
                    <w:rPr>
                      <w:b/>
                      <w:bCs/>
                      <w:szCs w:val="18"/>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31115</wp:posOffset>
                            </wp:positionV>
                            <wp:extent cx="1873250" cy="358140"/>
                            <wp:effectExtent l="635" t="4445" r="5715" b="5715"/>
                            <wp:wrapNone/>
                            <wp:docPr id="2" name="直接箭头连接符 2"/>
                            <wp:cNvGraphicFramePr/>
                            <a:graphic xmlns:a="http://schemas.openxmlformats.org/drawingml/2006/main">
                              <a:graphicData uri="http://schemas.microsoft.com/office/word/2010/wordprocessingShape">
                                <wps:wsp>
                                  <wps:cNvCnPr/>
                                  <wps:spPr bwMode="auto">
                                    <a:xfrm>
                                      <a:off x="0" y="0"/>
                                      <a:ext cx="1873250" cy="35814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8pt;margin-top:2.45pt;height:28.2pt;width:147.5pt;z-index:251659264;mso-width-relative:page;mso-height-relative:page;" filled="f" stroked="t" coordsize="21600,21600" o:gfxdata="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jy1tNUAAAAG&#10;AQAADwAAAAAAAAABACAAAAAiAAAAZHJzL2Rvd25yZXYueG1sUEsBAhQAFAAAAAgAh07iQMzs+K/m&#10;AQAAnwMAAA4AAAAAAAAAAQAgAAAAJAEAAGRycy9lMm9Eb2MueG1sUEsFBgAAAAAGAAYAWQEAAHwF&#10;AAAAAA==&#10;">
                            <v:fill on="f" focussize="0,0"/>
                            <v:stroke color="#000000" joinstyle="round"/>
                            <v:imagedata o:title=""/>
                            <o:lock v:ext="edit" aspectratio="f"/>
                          </v:shape>
                        </w:pict>
                      </mc:Fallback>
                    </mc:AlternateContent>
                  </w:r>
                  <w:r>
                    <w:rPr>
                      <w:rFonts w:hint="eastAsia"/>
                      <w:b/>
                      <w:bCs/>
                      <w:szCs w:val="18"/>
                    </w:rPr>
                    <w:t>        项目类型   </w:t>
                  </w:r>
                </w:p>
                <w:p>
                  <w:pPr>
                    <w:adjustRightInd w:val="0"/>
                    <w:snapToGrid w:val="0"/>
                    <w:spacing w:line="288" w:lineRule="auto"/>
                    <w:rPr>
                      <w:b/>
                      <w:bCs/>
                      <w:szCs w:val="18"/>
                    </w:rPr>
                  </w:pPr>
                  <w:r>
                    <w:rPr>
                      <w:rFonts w:hint="eastAsia"/>
                      <w:b/>
                      <w:bCs/>
                      <w:szCs w:val="18"/>
                    </w:rPr>
                    <w:t>中标金额（万元）</w:t>
                  </w:r>
                </w:p>
              </w:tc>
              <w:tc>
                <w:tcPr>
                  <w:tcW w:w="4514" w:type="dxa"/>
                  <w:tcBorders>
                    <w:top w:val="outset" w:color="auto" w:sz="6" w:space="0"/>
                    <w:left w:val="outset" w:color="auto" w:sz="6" w:space="0"/>
                    <w:bottom w:val="outset" w:color="auto" w:sz="6" w:space="0"/>
                    <w:right w:val="outset" w:color="auto" w:sz="6" w:space="0"/>
                  </w:tcBorders>
                  <w:vAlign w:val="center"/>
                </w:tcPr>
                <w:p>
                  <w:pPr>
                    <w:pStyle w:val="35"/>
                    <w:adjustRightInd w:val="0"/>
                    <w:snapToGrid w:val="0"/>
                    <w:spacing w:before="0" w:beforeAutospacing="0" w:after="0" w:afterAutospacing="0" w:line="288" w:lineRule="auto"/>
                    <w:jc w:val="center"/>
                    <w:rPr>
                      <w:b/>
                      <w:bCs/>
                      <w:sz w:val="21"/>
                      <w:szCs w:val="18"/>
                    </w:rPr>
                  </w:pPr>
                  <w:r>
                    <w:rPr>
                      <w:rFonts w:hint="eastAsia"/>
                      <w:b/>
                      <w:bCs/>
                      <w:sz w:val="21"/>
                      <w:szCs w:val="18"/>
                    </w:rPr>
                    <w:t>费率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04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88" w:lineRule="auto"/>
                    <w:rPr>
                      <w:b/>
                      <w:bCs/>
                      <w:szCs w:val="18"/>
                    </w:rPr>
                  </w:pPr>
                  <w:r>
                    <w:rPr>
                      <w:rFonts w:hint="eastAsia"/>
                      <w:b/>
                      <w:bCs/>
                      <w:szCs w:val="18"/>
                    </w:rPr>
                    <w:t>100以下</w:t>
                  </w:r>
                </w:p>
              </w:tc>
              <w:tc>
                <w:tcPr>
                  <w:tcW w:w="4514"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88" w:lineRule="auto"/>
                    <w:jc w:val="center"/>
                    <w:rPr>
                      <w:b/>
                      <w:bCs/>
                      <w:szCs w:val="18"/>
                    </w:rPr>
                  </w:pPr>
                  <w:r>
                    <w:rPr>
                      <w:rFonts w:hint="eastAsia"/>
                      <w:b/>
                      <w:bCs/>
                      <w:szCs w:val="18"/>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047"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88" w:lineRule="auto"/>
                    <w:rPr>
                      <w:b/>
                      <w:bCs/>
                      <w:szCs w:val="18"/>
                    </w:rPr>
                  </w:pPr>
                  <w:r>
                    <w:rPr>
                      <w:rFonts w:hint="eastAsia"/>
                      <w:b/>
                      <w:bCs/>
                      <w:szCs w:val="18"/>
                    </w:rPr>
                    <w:t>100—500</w:t>
                  </w:r>
                </w:p>
              </w:tc>
              <w:tc>
                <w:tcPr>
                  <w:tcW w:w="4514"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88" w:lineRule="auto"/>
                    <w:jc w:val="center"/>
                    <w:rPr>
                      <w:b/>
                      <w:bCs/>
                      <w:szCs w:val="18"/>
                    </w:rPr>
                  </w:pPr>
                  <w:r>
                    <w:rPr>
                      <w:rFonts w:hint="eastAsia"/>
                      <w:b/>
                      <w:bCs/>
                      <w:szCs w:val="18"/>
                    </w:rPr>
                    <w:t>0.8％</w:t>
                  </w:r>
                </w:p>
              </w:tc>
            </w:tr>
          </w:tbl>
          <w:p>
            <w:pPr>
              <w:spacing w:line="288" w:lineRule="auto"/>
              <w:jc w:val="left"/>
              <w:rPr>
                <w:rFonts w:ascii="宋体" w:hAnsi="宋体"/>
                <w:sz w:val="24"/>
              </w:rPr>
            </w:pPr>
            <w:r>
              <w:rPr>
                <w:rFonts w:ascii="宋体" w:hAnsi="宋体"/>
                <w:sz w:val="24"/>
              </w:rPr>
              <w:t>缴纳时间：</w:t>
            </w:r>
            <w:r>
              <w:rPr>
                <w:rFonts w:hint="eastAsia" w:ascii="宋体" w:hAnsi="宋体"/>
                <w:sz w:val="24"/>
                <w:u w:val="single"/>
              </w:rPr>
              <w:t>成交人在领取成交通知书时须向采购代理机构缴纳代理费</w:t>
            </w:r>
            <w:r>
              <w:rPr>
                <w:rFonts w:ascii="宋体" w:hAnsi="宋体"/>
                <w:sz w:val="24"/>
              </w:rPr>
              <w:t>。</w:t>
            </w:r>
          </w:p>
        </w:tc>
      </w:tr>
    </w:tbl>
    <w:p>
      <w:pPr>
        <w:tabs>
          <w:tab w:val="left" w:pos="5580"/>
        </w:tabs>
        <w:adjustRightInd w:val="0"/>
        <w:spacing w:line="360" w:lineRule="auto"/>
        <w:jc w:val="distribute"/>
        <w:rPr>
          <w:rFonts w:ascii="宋体" w:hAnsi="宋体"/>
          <w:sz w:val="24"/>
        </w:rPr>
        <w:sectPr>
          <w:footerReference r:id="rId4" w:type="first"/>
          <w:footerReference r:id="rId3" w:type="default"/>
          <w:type w:val="nextColumn"/>
          <w:pgSz w:w="11907" w:h="16840"/>
          <w:pgMar w:top="1418" w:right="1134" w:bottom="1418" w:left="1701" w:header="851" w:footer="851" w:gutter="0"/>
          <w:pgNumType w:start="0"/>
          <w:cols w:space="720" w:num="1"/>
          <w:titlePg/>
          <w:docGrid w:linePitch="462" w:charSpace="0"/>
        </w:sectPr>
      </w:pPr>
    </w:p>
    <w:p>
      <w:pPr>
        <w:spacing w:before="240" w:beforeLines="100" w:after="240" w:afterLines="100"/>
        <w:jc w:val="center"/>
        <w:rPr>
          <w:rFonts w:ascii="宋体" w:hAnsi="宋体"/>
          <w:b/>
          <w:sz w:val="28"/>
          <w:szCs w:val="28"/>
        </w:rPr>
      </w:pPr>
      <w:bookmarkStart w:id="79" w:name="_Toc264969207"/>
      <w:bookmarkStart w:id="80" w:name="_Toc127151517"/>
      <w:bookmarkStart w:id="81" w:name="_Toc226965790"/>
      <w:bookmarkStart w:id="82" w:name="_Toc195842882"/>
      <w:bookmarkStart w:id="83" w:name="_Toc150480755"/>
      <w:bookmarkStart w:id="84" w:name="_Toc305158859"/>
      <w:bookmarkStart w:id="85" w:name="_Toc265228355"/>
      <w:bookmarkStart w:id="86" w:name="_Toc353825542"/>
      <w:bookmarkStart w:id="87" w:name="_Toc353873662"/>
      <w:bookmarkStart w:id="88" w:name="_Toc353873932"/>
      <w:bookmarkStart w:id="89" w:name="_Toc226337213"/>
      <w:bookmarkStart w:id="90" w:name="_Toc305158785"/>
      <w:bookmarkStart w:id="91" w:name="_Toc142311019"/>
      <w:bookmarkStart w:id="92" w:name="_Toc150774722"/>
      <w:r>
        <w:rPr>
          <w:rFonts w:hint="eastAsia" w:ascii="宋体" w:hAnsi="宋体"/>
          <w:b/>
          <w:sz w:val="28"/>
          <w:szCs w:val="28"/>
        </w:rPr>
        <w:t>供应商</w:t>
      </w:r>
      <w:r>
        <w:rPr>
          <w:rFonts w:ascii="宋体" w:hAnsi="宋体"/>
          <w:b/>
          <w:sz w:val="28"/>
          <w:szCs w:val="28"/>
        </w:rPr>
        <w:t>须知</w:t>
      </w:r>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5"/>
        <w:tabs>
          <w:tab w:val="center" w:pos="4592"/>
          <w:tab w:val="left" w:pos="7860"/>
        </w:tabs>
        <w:spacing w:before="0" w:line="360" w:lineRule="auto"/>
        <w:rPr>
          <w:rFonts w:ascii="宋体" w:hAnsi="宋体" w:eastAsia="宋体"/>
          <w:sz w:val="28"/>
        </w:rPr>
      </w:pPr>
      <w:bookmarkStart w:id="93" w:name="_Toc150774723"/>
      <w:bookmarkStart w:id="94" w:name="_Toc520356143"/>
      <w:bookmarkStart w:id="95" w:name="_Toc151193760"/>
      <w:bookmarkStart w:id="96" w:name="_Toc151193616"/>
      <w:bookmarkStart w:id="97" w:name="_Toc151193906"/>
      <w:bookmarkStart w:id="98" w:name="_Toc226965791"/>
      <w:bookmarkStart w:id="99" w:name="_Toc151190145"/>
      <w:bookmarkStart w:id="100" w:name="_Toc226965708"/>
      <w:bookmarkStart w:id="101" w:name="_Toc265228356"/>
      <w:bookmarkStart w:id="102" w:name="_Toc151193832"/>
      <w:bookmarkStart w:id="103" w:name="_Toc226309762"/>
      <w:bookmarkStart w:id="104" w:name="_Toc150509269"/>
      <w:bookmarkStart w:id="105" w:name="_Toc150480756"/>
      <w:bookmarkStart w:id="106" w:name="_Toc127151518"/>
      <w:bookmarkStart w:id="107" w:name="_Toc264969208"/>
      <w:bookmarkStart w:id="108" w:name="_Toc195842883"/>
      <w:bookmarkStart w:id="109" w:name="_Toc142311020"/>
      <w:bookmarkStart w:id="110" w:name="_Toc305158786"/>
      <w:bookmarkStart w:id="111" w:name="_Toc151193688"/>
      <w:bookmarkStart w:id="112" w:name="_Toc305158860"/>
      <w:bookmarkStart w:id="113" w:name="_Toc226337214"/>
      <w:bookmarkStart w:id="114" w:name="_Toc150774618"/>
      <w:r>
        <w:rPr>
          <w:rFonts w:ascii="宋体" w:hAnsi="宋体" w:eastAsia="宋体"/>
          <w:sz w:val="28"/>
        </w:rPr>
        <w:t>一  说  明</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numPr>
          <w:ilvl w:val="0"/>
          <w:numId w:val="8"/>
        </w:numPr>
        <w:tabs>
          <w:tab w:val="left" w:pos="360"/>
          <w:tab w:val="clear" w:pos="900"/>
        </w:tabs>
        <w:snapToGrid w:val="0"/>
        <w:spacing w:line="360" w:lineRule="auto"/>
        <w:ind w:left="357" w:hanging="357"/>
        <w:outlineLvl w:val="1"/>
        <w:rPr>
          <w:rFonts w:ascii="宋体" w:hAnsi="宋体"/>
          <w:sz w:val="24"/>
        </w:rPr>
      </w:pPr>
      <w:bookmarkStart w:id="115" w:name="_Toc265228357"/>
      <w:bookmarkStart w:id="116" w:name="_Toc305158787"/>
      <w:bookmarkStart w:id="117" w:name="_Toc264969209"/>
      <w:bookmarkStart w:id="118" w:name="_Toc305158861"/>
      <w:r>
        <w:rPr>
          <w:rFonts w:ascii="宋体" w:hAnsi="宋体"/>
          <w:sz w:val="24"/>
        </w:rPr>
        <w:t>采购人、采购代理机构、</w:t>
      </w:r>
      <w:bookmarkEnd w:id="115"/>
      <w:bookmarkEnd w:id="116"/>
      <w:bookmarkEnd w:id="117"/>
      <w:bookmarkEnd w:id="118"/>
      <w:r>
        <w:rPr>
          <w:rFonts w:hint="eastAsia" w:ascii="宋体" w:hAnsi="宋体"/>
          <w:sz w:val="24"/>
        </w:rPr>
        <w:t>供应商、联合体</w:t>
      </w:r>
    </w:p>
    <w:p>
      <w:pPr>
        <w:numPr>
          <w:ilvl w:val="1"/>
          <w:numId w:val="8"/>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w:t>
      </w:r>
      <w:r>
        <w:rPr>
          <w:rFonts w:hint="eastAsia" w:ascii="宋体" w:hAnsi="宋体"/>
          <w:sz w:val="24"/>
        </w:rPr>
        <w:t>比选邀请</w:t>
      </w:r>
      <w:r>
        <w:rPr>
          <w:rFonts w:ascii="宋体" w:hAnsi="宋体"/>
          <w:sz w:val="24"/>
        </w:rPr>
        <w:t>》。</w:t>
      </w:r>
    </w:p>
    <w:p>
      <w:pPr>
        <w:numPr>
          <w:ilvl w:val="1"/>
          <w:numId w:val="8"/>
        </w:numPr>
        <w:tabs>
          <w:tab w:val="left" w:pos="1080"/>
          <w:tab w:val="left" w:pos="2014"/>
          <w:tab w:val="left" w:pos="5521"/>
        </w:tabs>
        <w:snapToGrid w:val="0"/>
        <w:spacing w:line="360" w:lineRule="auto"/>
        <w:ind w:left="1080" w:hanging="720"/>
        <w:rPr>
          <w:rFonts w:ascii="宋体" w:hAnsi="宋体"/>
          <w:sz w:val="24"/>
        </w:rPr>
      </w:pPr>
      <w:r>
        <w:rPr>
          <w:rFonts w:hint="eastAsia" w:ascii="宋体" w:hAnsi="宋体"/>
          <w:sz w:val="24"/>
        </w:rPr>
        <w:t>供应商</w:t>
      </w:r>
      <w:r>
        <w:rPr>
          <w:rFonts w:ascii="宋体" w:hAnsi="宋体"/>
          <w:sz w:val="24"/>
        </w:rPr>
        <w:t>（也称</w:t>
      </w:r>
      <w:r>
        <w:rPr>
          <w:rFonts w:hint="eastAsia" w:ascii="宋体" w:hAnsi="宋体"/>
          <w:sz w:val="24"/>
        </w:rPr>
        <w:t>“供应商”、“</w:t>
      </w:r>
      <w:r>
        <w:rPr>
          <w:rFonts w:ascii="宋体" w:hAnsi="宋体"/>
          <w:sz w:val="24"/>
        </w:rPr>
        <w:t>申请人</w:t>
      </w:r>
      <w:r>
        <w:rPr>
          <w:rFonts w:hint="eastAsia" w:ascii="宋体" w:hAnsi="宋体"/>
          <w:sz w:val="24"/>
        </w:rPr>
        <w:t>”</w:t>
      </w:r>
      <w:r>
        <w:rPr>
          <w:rFonts w:ascii="宋体" w:hAnsi="宋体"/>
          <w:sz w:val="24"/>
        </w:rPr>
        <w:t>）：指向采购人提供货物、工程或者服务的法人、其他组织或者自然人。</w:t>
      </w:r>
    </w:p>
    <w:p>
      <w:pPr>
        <w:numPr>
          <w:ilvl w:val="1"/>
          <w:numId w:val="8"/>
        </w:numPr>
        <w:tabs>
          <w:tab w:val="left" w:pos="1080"/>
          <w:tab w:val="left" w:pos="2014"/>
          <w:tab w:val="left" w:pos="5521"/>
        </w:tabs>
        <w:snapToGrid w:val="0"/>
        <w:spacing w:line="360" w:lineRule="auto"/>
        <w:ind w:left="1080" w:hanging="720"/>
        <w:rPr>
          <w:rFonts w:ascii="宋体" w:hAnsi="宋体"/>
          <w:sz w:val="24"/>
        </w:rPr>
      </w:pPr>
      <w:r>
        <w:rPr>
          <w:rFonts w:hint="eastAsia" w:ascii="宋体" w:hAnsi="宋体"/>
          <w:sz w:val="24"/>
        </w:rPr>
        <w:t>联合体：指两个以上的自然人、法人或者其他组织组成一个联合体，以一个供应商的身份共同参加政府采购。</w:t>
      </w:r>
    </w:p>
    <w:p>
      <w:pPr>
        <w:numPr>
          <w:ilvl w:val="0"/>
          <w:numId w:val="8"/>
        </w:numPr>
        <w:tabs>
          <w:tab w:val="left" w:pos="360"/>
          <w:tab w:val="clear" w:pos="900"/>
        </w:tabs>
        <w:snapToGrid w:val="0"/>
        <w:spacing w:line="360" w:lineRule="auto"/>
        <w:ind w:left="357" w:hanging="357"/>
        <w:outlineLvl w:val="1"/>
        <w:rPr>
          <w:rFonts w:ascii="宋体" w:hAnsi="宋体"/>
          <w:sz w:val="24"/>
        </w:rPr>
      </w:pPr>
      <w:bookmarkStart w:id="119" w:name="_Toc226309764"/>
      <w:bookmarkStart w:id="120" w:name="_Toc150480758"/>
      <w:bookmarkStart w:id="121" w:name="_Toc226965710"/>
      <w:bookmarkStart w:id="122" w:name="_Toc226337216"/>
      <w:bookmarkStart w:id="123" w:name="_Toc151193618"/>
      <w:bookmarkStart w:id="124" w:name="_Toc265228358"/>
      <w:bookmarkStart w:id="125" w:name="_Toc151190147"/>
      <w:bookmarkStart w:id="126" w:name="_Toc164351614"/>
      <w:bookmarkStart w:id="127" w:name="_Toc127151520"/>
      <w:bookmarkStart w:id="128" w:name="_Toc150509271"/>
      <w:bookmarkStart w:id="129" w:name="_Toc164608789"/>
      <w:bookmarkStart w:id="130" w:name="_Toc151193762"/>
      <w:bookmarkStart w:id="131" w:name="_Toc150774620"/>
      <w:bookmarkStart w:id="132" w:name="_Toc151193834"/>
      <w:bookmarkStart w:id="133" w:name="_Toc226965793"/>
      <w:bookmarkStart w:id="134" w:name="_Toc151193908"/>
      <w:bookmarkStart w:id="135" w:name="_Toc264969210"/>
      <w:bookmarkStart w:id="136" w:name="_Toc195842885"/>
      <w:bookmarkStart w:id="137" w:name="_Toc149720813"/>
      <w:bookmarkStart w:id="138" w:name="_Toc164229361"/>
      <w:bookmarkStart w:id="139" w:name="_Toc127161434"/>
      <w:bookmarkStart w:id="140" w:name="_Toc127151721"/>
      <w:bookmarkStart w:id="141" w:name="_Toc151193690"/>
      <w:bookmarkStart w:id="142" w:name="_Toc164608634"/>
      <w:bookmarkStart w:id="143" w:name="_Toc142311022"/>
      <w:bookmarkStart w:id="144" w:name="_Toc150774725"/>
      <w:bookmarkStart w:id="145" w:name="_Toc305158788"/>
      <w:bookmarkStart w:id="146" w:name="_Toc305158862"/>
      <w:bookmarkStart w:id="147" w:name="_Toc164229215"/>
      <w:r>
        <w:rPr>
          <w:rFonts w:ascii="宋体" w:hAnsi="宋体"/>
          <w:sz w:val="24"/>
        </w:rPr>
        <w:t>资金来源</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ascii="宋体" w:hAnsi="宋体"/>
          <w:sz w:val="24"/>
        </w:rPr>
        <w:t>、项目属性、科研仪器设备采购、核心产品</w:t>
      </w:r>
    </w:p>
    <w:p>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资金来源为财政性资金</w:t>
      </w:r>
      <w:r>
        <w:rPr>
          <w:rFonts w:hint="eastAsia" w:ascii="宋体" w:hAnsi="宋体"/>
          <w:sz w:val="24"/>
        </w:rPr>
        <w:t>，项目预算未达政府采购限额</w:t>
      </w:r>
      <w:r>
        <w:rPr>
          <w:rFonts w:ascii="宋体" w:hAnsi="宋体"/>
          <w:sz w:val="24"/>
        </w:rPr>
        <w:t>。</w:t>
      </w:r>
    </w:p>
    <w:p>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项目属性见《</w:t>
      </w:r>
      <w:r>
        <w:rPr>
          <w:rFonts w:hint="eastAsia" w:ascii="宋体" w:hAnsi="宋体"/>
          <w:sz w:val="24"/>
        </w:rPr>
        <w:t>供应商</w:t>
      </w:r>
      <w:r>
        <w:rPr>
          <w:rFonts w:ascii="宋体" w:hAnsi="宋体"/>
          <w:sz w:val="24"/>
        </w:rPr>
        <w:t>须知资料表》。</w:t>
      </w:r>
    </w:p>
    <w:p>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是否属于科研仪器设备采购见《</w:t>
      </w:r>
      <w:r>
        <w:rPr>
          <w:rFonts w:hint="eastAsia" w:ascii="宋体" w:hAnsi="宋体"/>
          <w:sz w:val="24"/>
        </w:rPr>
        <w:t>供应商</w:t>
      </w:r>
      <w:r>
        <w:rPr>
          <w:rFonts w:ascii="宋体" w:hAnsi="宋体"/>
          <w:sz w:val="24"/>
        </w:rPr>
        <w:t>须知资料表》。</w:t>
      </w:r>
    </w:p>
    <w:p>
      <w:pPr>
        <w:numPr>
          <w:ilvl w:val="1"/>
          <w:numId w:val="8"/>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核心产品见《</w:t>
      </w:r>
      <w:r>
        <w:rPr>
          <w:rFonts w:hint="eastAsia" w:ascii="宋体" w:hAnsi="宋体"/>
          <w:sz w:val="24"/>
        </w:rPr>
        <w:t>供应商</w:t>
      </w:r>
      <w:r>
        <w:rPr>
          <w:rFonts w:ascii="宋体" w:hAnsi="宋体"/>
          <w:sz w:val="24"/>
        </w:rPr>
        <w:t>须知资料表》。</w:t>
      </w:r>
    </w:p>
    <w:p>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现场考察、</w:t>
      </w:r>
      <w:r>
        <w:rPr>
          <w:rFonts w:hint="eastAsia" w:ascii="宋体" w:hAnsi="宋体"/>
          <w:sz w:val="24"/>
        </w:rPr>
        <w:t>开选</w:t>
      </w:r>
      <w:r>
        <w:rPr>
          <w:rFonts w:ascii="宋体" w:hAnsi="宋体"/>
          <w:sz w:val="24"/>
        </w:rPr>
        <w:t>前答疑会</w:t>
      </w:r>
    </w:p>
    <w:p>
      <w:pPr>
        <w:numPr>
          <w:ilvl w:val="1"/>
          <w:numId w:val="8"/>
        </w:numPr>
        <w:tabs>
          <w:tab w:val="left" w:pos="1080"/>
          <w:tab w:val="left" w:pos="2014"/>
        </w:tabs>
        <w:snapToGrid w:val="0"/>
        <w:spacing w:line="360" w:lineRule="auto"/>
        <w:ind w:left="1080" w:hanging="720"/>
        <w:rPr>
          <w:rFonts w:ascii="宋体" w:hAnsi="宋体"/>
          <w:sz w:val="28"/>
        </w:rPr>
      </w:pPr>
      <w:r>
        <w:rPr>
          <w:rFonts w:ascii="宋体" w:hAnsi="宋体"/>
          <w:sz w:val="24"/>
        </w:rPr>
        <w:t>若《</w:t>
      </w:r>
      <w:r>
        <w:rPr>
          <w:rFonts w:hint="eastAsia" w:ascii="宋体" w:hAnsi="宋体"/>
          <w:sz w:val="24"/>
        </w:rPr>
        <w:t>供应商</w:t>
      </w:r>
      <w:r>
        <w:rPr>
          <w:rFonts w:ascii="宋体" w:hAnsi="宋体"/>
          <w:sz w:val="24"/>
        </w:rPr>
        <w:t>须知资料表》中规定了组织现场考察、召开</w:t>
      </w:r>
      <w:r>
        <w:rPr>
          <w:rFonts w:hint="eastAsia" w:ascii="宋体" w:hAnsi="宋体"/>
          <w:sz w:val="24"/>
        </w:rPr>
        <w:t>开选</w:t>
      </w:r>
      <w:r>
        <w:rPr>
          <w:rFonts w:ascii="宋体" w:hAnsi="宋体"/>
          <w:sz w:val="24"/>
        </w:rPr>
        <w:t>前答疑会，则</w:t>
      </w:r>
      <w:r>
        <w:rPr>
          <w:rFonts w:hint="eastAsia" w:ascii="宋体" w:hAnsi="宋体"/>
          <w:sz w:val="24"/>
        </w:rPr>
        <w:t>供应商</w:t>
      </w:r>
      <w:r>
        <w:rPr>
          <w:rFonts w:ascii="宋体" w:hAnsi="宋体"/>
          <w:sz w:val="24"/>
        </w:rPr>
        <w:t>应按要求在规定的时间和地点参加。</w:t>
      </w:r>
      <w:bookmarkStart w:id="148" w:name="_Toc195842887"/>
      <w:bookmarkStart w:id="149" w:name="_Toc305158790"/>
      <w:bookmarkStart w:id="150" w:name="_Toc151193692"/>
      <w:bookmarkStart w:id="151" w:name="_Toc151193764"/>
      <w:bookmarkStart w:id="152" w:name="_Toc264969212"/>
      <w:bookmarkStart w:id="153" w:name="_Toc226965795"/>
      <w:bookmarkStart w:id="154" w:name="_Toc151190149"/>
      <w:bookmarkStart w:id="155" w:name="_Toc150774622"/>
      <w:bookmarkStart w:id="156" w:name="_Toc151193910"/>
      <w:bookmarkStart w:id="157" w:name="_Toc520356146"/>
      <w:bookmarkStart w:id="158" w:name="_Toc226309766"/>
      <w:bookmarkStart w:id="159" w:name="_Toc151193836"/>
      <w:bookmarkStart w:id="160" w:name="_Toc151193620"/>
      <w:bookmarkStart w:id="161" w:name="_Toc226965712"/>
      <w:bookmarkStart w:id="162" w:name="_Toc127151522"/>
      <w:bookmarkStart w:id="163" w:name="_Toc265228360"/>
      <w:bookmarkStart w:id="164" w:name="_Toc305158864"/>
      <w:bookmarkStart w:id="165" w:name="_Toc226337218"/>
      <w:bookmarkStart w:id="166" w:name="_Toc150480760"/>
      <w:bookmarkStart w:id="167" w:name="_Toc150774727"/>
      <w:bookmarkStart w:id="168" w:name="_Toc142311024"/>
      <w:bookmarkStart w:id="169" w:name="_Toc150509273"/>
    </w:p>
    <w:p>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由于未参加现场考察或</w:t>
      </w:r>
      <w:r>
        <w:rPr>
          <w:rFonts w:hint="eastAsia" w:ascii="宋体" w:hAnsi="宋体"/>
          <w:sz w:val="24"/>
        </w:rPr>
        <w:t>开选</w:t>
      </w:r>
      <w:r>
        <w:rPr>
          <w:rFonts w:ascii="宋体" w:hAnsi="宋体"/>
          <w:sz w:val="24"/>
        </w:rPr>
        <w:t>前答疑会而导致对项目实际情况不了解，影响</w:t>
      </w:r>
      <w:r>
        <w:rPr>
          <w:rFonts w:hint="eastAsia" w:ascii="宋体" w:hAnsi="宋体"/>
          <w:sz w:val="24"/>
        </w:rPr>
        <w:t>响应文件</w:t>
      </w:r>
      <w:r>
        <w:rPr>
          <w:rFonts w:ascii="宋体" w:hAnsi="宋体"/>
          <w:sz w:val="24"/>
        </w:rPr>
        <w:t>编制、</w:t>
      </w:r>
      <w:r>
        <w:rPr>
          <w:rFonts w:hint="eastAsia" w:ascii="宋体" w:hAnsi="宋体"/>
          <w:sz w:val="24"/>
        </w:rPr>
        <w:t>响应</w:t>
      </w:r>
      <w:r>
        <w:rPr>
          <w:rFonts w:ascii="宋体" w:hAnsi="宋体"/>
          <w:sz w:val="24"/>
        </w:rPr>
        <w:t>报价准确性、综合因素响应不全面等问题的，由</w:t>
      </w:r>
      <w:r>
        <w:rPr>
          <w:rFonts w:hint="eastAsia" w:ascii="宋体" w:hAnsi="宋体"/>
          <w:sz w:val="24"/>
        </w:rPr>
        <w:t>供应商</w:t>
      </w:r>
      <w:r>
        <w:rPr>
          <w:rFonts w:ascii="宋体" w:hAnsi="宋体"/>
          <w:sz w:val="24"/>
        </w:rPr>
        <w:t>自行承担不利评审后果。</w:t>
      </w:r>
    </w:p>
    <w:p>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样品</w:t>
      </w:r>
    </w:p>
    <w:p>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本项目是否要求</w:t>
      </w:r>
      <w:r>
        <w:rPr>
          <w:rFonts w:hint="eastAsia" w:ascii="宋体" w:hAnsi="宋体"/>
          <w:sz w:val="24"/>
        </w:rPr>
        <w:t>供应商</w:t>
      </w:r>
      <w:r>
        <w:rPr>
          <w:rFonts w:ascii="宋体" w:hAnsi="宋体"/>
          <w:sz w:val="24"/>
        </w:rPr>
        <w:t>提供样品，以及样品制作的标准和要求、是否需要随样品提交相关检测报告、样品的递交与退还等要求见《</w:t>
      </w:r>
      <w:r>
        <w:rPr>
          <w:rFonts w:hint="eastAsia" w:ascii="宋体" w:hAnsi="宋体"/>
          <w:sz w:val="24"/>
        </w:rPr>
        <w:t>供应商</w:t>
      </w:r>
      <w:r>
        <w:rPr>
          <w:rFonts w:ascii="宋体" w:hAnsi="宋体"/>
          <w:sz w:val="24"/>
        </w:rPr>
        <w:t>须知资料表》</w:t>
      </w:r>
      <w:r>
        <w:rPr>
          <w:rFonts w:hint="eastAsia" w:ascii="宋体" w:hAnsi="宋体"/>
          <w:sz w:val="24"/>
        </w:rPr>
        <w:t>。</w:t>
      </w:r>
    </w:p>
    <w:p>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样品的评审方法以及评审标准等内容见第四章《评</w:t>
      </w:r>
      <w:r>
        <w:rPr>
          <w:rFonts w:hint="eastAsia" w:ascii="宋体" w:hAnsi="宋体"/>
          <w:sz w:val="24"/>
        </w:rPr>
        <w:t>审</w:t>
      </w:r>
      <w:r>
        <w:rPr>
          <w:rFonts w:ascii="宋体" w:hAnsi="宋体"/>
          <w:sz w:val="24"/>
        </w:rPr>
        <w:t>方法</w:t>
      </w:r>
      <w:r>
        <w:rPr>
          <w:rFonts w:hint="eastAsia" w:ascii="宋体" w:hAnsi="宋体"/>
          <w:sz w:val="24"/>
        </w:rPr>
        <w:t>和</w:t>
      </w:r>
      <w:r>
        <w:rPr>
          <w:rFonts w:ascii="宋体" w:hAnsi="宋体"/>
          <w:sz w:val="24"/>
        </w:rPr>
        <w:t>评</w:t>
      </w:r>
      <w:r>
        <w:rPr>
          <w:rFonts w:hint="eastAsia" w:ascii="宋体" w:hAnsi="宋体"/>
          <w:sz w:val="24"/>
        </w:rPr>
        <w:t>审</w:t>
      </w:r>
      <w:r>
        <w:rPr>
          <w:rFonts w:ascii="宋体" w:hAnsi="宋体"/>
          <w:sz w:val="24"/>
        </w:rPr>
        <w:t>程序》。</w:t>
      </w:r>
    </w:p>
    <w:p>
      <w:pPr>
        <w:numPr>
          <w:ilvl w:val="0"/>
          <w:numId w:val="8"/>
        </w:numPr>
        <w:tabs>
          <w:tab w:val="left" w:pos="360"/>
          <w:tab w:val="clear" w:pos="900"/>
        </w:tabs>
        <w:snapToGrid w:val="0"/>
        <w:spacing w:line="360" w:lineRule="auto"/>
        <w:ind w:left="357" w:hanging="357"/>
        <w:outlineLvl w:val="1"/>
        <w:rPr>
          <w:rFonts w:ascii="宋体" w:hAnsi="宋体"/>
          <w:sz w:val="24"/>
        </w:rPr>
      </w:pPr>
      <w:r>
        <w:rPr>
          <w:rFonts w:ascii="宋体" w:hAnsi="宋体"/>
          <w:sz w:val="24"/>
        </w:rPr>
        <w:t>政府采购政策（包括但不限于下列具体政策要求）</w:t>
      </w:r>
    </w:p>
    <w:p>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进口产品</w:t>
      </w:r>
    </w:p>
    <w:p>
      <w:pPr>
        <w:numPr>
          <w:ilvl w:val="2"/>
          <w:numId w:val="8"/>
        </w:numPr>
        <w:tabs>
          <w:tab w:val="left" w:pos="2014"/>
        </w:tabs>
        <w:snapToGrid w:val="0"/>
        <w:spacing w:line="360" w:lineRule="auto"/>
        <w:rPr>
          <w:rFonts w:ascii="宋体" w:hAnsi="宋体"/>
          <w:sz w:val="24"/>
        </w:rPr>
      </w:pPr>
      <w:r>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2"/>
          <w:numId w:val="8"/>
        </w:numPr>
        <w:tabs>
          <w:tab w:val="left" w:pos="2014"/>
        </w:tabs>
        <w:snapToGrid w:val="0"/>
        <w:spacing w:line="360" w:lineRule="auto"/>
        <w:rPr>
          <w:rFonts w:ascii="宋体" w:hAnsi="宋体"/>
          <w:sz w:val="24"/>
        </w:rPr>
      </w:pPr>
      <w:r>
        <w:rPr>
          <w:rFonts w:ascii="宋体" w:hAnsi="宋体"/>
          <w:sz w:val="24"/>
        </w:rPr>
        <w:t>本项目是否接受进口产品见</w:t>
      </w:r>
      <w:r>
        <w:rPr>
          <w:rFonts w:hint="eastAsia" w:ascii="宋体" w:hAnsi="宋体"/>
          <w:sz w:val="24"/>
        </w:rPr>
        <w:t>第一章《报价邀请》</w:t>
      </w:r>
      <w:r>
        <w:rPr>
          <w:rFonts w:ascii="宋体" w:hAnsi="宋体"/>
          <w:sz w:val="24"/>
        </w:rPr>
        <w:t>。</w:t>
      </w:r>
    </w:p>
    <w:p>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中小企业、监狱企业及残疾人福利性单位</w:t>
      </w:r>
    </w:p>
    <w:p>
      <w:pPr>
        <w:numPr>
          <w:ilvl w:val="2"/>
          <w:numId w:val="8"/>
        </w:numPr>
        <w:snapToGrid w:val="0"/>
        <w:spacing w:line="360" w:lineRule="auto"/>
        <w:rPr>
          <w:rFonts w:ascii="宋体" w:hAnsi="宋体"/>
          <w:sz w:val="24"/>
        </w:rPr>
      </w:pPr>
      <w:r>
        <w:rPr>
          <w:rFonts w:ascii="宋体" w:hAnsi="宋体"/>
          <w:sz w:val="24"/>
        </w:rPr>
        <w:t>中小企业定义：</w:t>
      </w:r>
    </w:p>
    <w:p>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供应商提供的货物、工程或者服务符合下列情形的，享受中小企业扶持政策：</w:t>
      </w:r>
    </w:p>
    <w:p>
      <w:pPr>
        <w:tabs>
          <w:tab w:val="left" w:pos="1980"/>
        </w:tabs>
        <w:snapToGrid w:val="0"/>
        <w:spacing w:line="360" w:lineRule="auto"/>
        <w:ind w:left="2887"/>
        <w:rPr>
          <w:rFonts w:ascii="宋体" w:hAnsi="宋体"/>
          <w:color w:val="000000"/>
          <w:sz w:val="24"/>
        </w:rPr>
      </w:pPr>
      <w:r>
        <w:rPr>
          <w:rFonts w:ascii="宋体" w:hAnsi="宋体"/>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87"/>
        <w:rPr>
          <w:rFonts w:ascii="宋体" w:hAnsi="宋体"/>
          <w:color w:val="000000"/>
          <w:sz w:val="24"/>
        </w:rPr>
      </w:pPr>
      <w:r>
        <w:rPr>
          <w:rFonts w:ascii="宋体" w:hAnsi="宋体"/>
          <w:color w:val="000000"/>
          <w:sz w:val="24"/>
        </w:rPr>
        <w:t>（2）在工程采购项目中，工程由中小企业承建，即工程施工单位为中小企业；</w:t>
      </w:r>
    </w:p>
    <w:p>
      <w:pPr>
        <w:tabs>
          <w:tab w:val="left" w:pos="1980"/>
        </w:tabs>
        <w:snapToGrid w:val="0"/>
        <w:spacing w:line="360" w:lineRule="auto"/>
        <w:ind w:left="2887"/>
        <w:rPr>
          <w:rFonts w:ascii="宋体" w:hAnsi="宋体"/>
          <w:color w:val="000000"/>
          <w:sz w:val="24"/>
        </w:rPr>
      </w:pPr>
      <w:r>
        <w:rPr>
          <w:rFonts w:ascii="宋体" w:hAnsi="宋体"/>
          <w:color w:val="000000"/>
          <w:sz w:val="24"/>
        </w:rPr>
        <w:t>（3）在服务采购项目中，服务由中小企业承接，即提供服务的人员为中小企业依照《中华人民共和国劳动</w:t>
      </w:r>
      <w:r>
        <w:rPr>
          <w:rFonts w:hint="eastAsia" w:ascii="宋体" w:hAnsi="宋体"/>
          <w:color w:val="000000"/>
          <w:sz w:val="24"/>
        </w:rPr>
        <w:t>合同法</w:t>
      </w:r>
      <w:r>
        <w:rPr>
          <w:rFonts w:ascii="宋体" w:hAnsi="宋体"/>
          <w:color w:val="000000"/>
          <w:sz w:val="24"/>
        </w:rPr>
        <w:t>》订立劳动合同的从业人员。</w:t>
      </w:r>
    </w:p>
    <w:p>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在货物采购项目中，供应商提供的货物既有中小企业制造货物，也有大型企业制造货物的，不享受中小企业扶持政策。</w:t>
      </w:r>
    </w:p>
    <w:p>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以联合体形式参加政府采购活动，联合体各方均为中小企业的，联合体视同中小企业。其中，联合体各方均为小微企业的，联合体视同小微企业。</w:t>
      </w:r>
    </w:p>
    <w:p>
      <w:pPr>
        <w:numPr>
          <w:ilvl w:val="2"/>
          <w:numId w:val="8"/>
        </w:numPr>
        <w:snapToGrid w:val="0"/>
        <w:spacing w:line="360" w:lineRule="auto"/>
        <w:rPr>
          <w:rFonts w:ascii="宋体" w:hAnsi="宋体"/>
          <w:sz w:val="24"/>
        </w:rPr>
      </w:pPr>
      <w:r>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8"/>
        </w:numPr>
        <w:snapToGrid w:val="0"/>
        <w:spacing w:line="360" w:lineRule="auto"/>
        <w:rPr>
          <w:rFonts w:ascii="宋体" w:hAnsi="宋体"/>
          <w:sz w:val="24"/>
        </w:rPr>
      </w:pPr>
      <w:r>
        <w:rPr>
          <w:rFonts w:ascii="宋体" w:hAnsi="宋体"/>
          <w:sz w:val="24"/>
        </w:rPr>
        <w:t>残疾人福利单位定义：享受政府采购支持政策的残疾人福利性单位应当同时满足以下条件</w:t>
      </w:r>
    </w:p>
    <w:p>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安置的残疾人占本单位在职职工人数的比例不低于25%（含25%），并且安置的残疾人人数不少于10 人（含10人）；</w:t>
      </w:r>
    </w:p>
    <w:p>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依法与安置的每位残疾人签订了一年以上（含一年）的劳动合同或服务协议；</w:t>
      </w:r>
    </w:p>
    <w:p>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为安置的每位残疾人按月足额缴纳了基本养老保险、基本医疗保险、失业保险、工伤保险和生育保险等社会保险费；</w:t>
      </w:r>
    </w:p>
    <w:p>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通过银行等金融机构向安置的每位残疾人，按月支付了不低于单位所在区县适用的经省级人民政府批准的月最低工资标准的工资；</w:t>
      </w:r>
    </w:p>
    <w:p>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提供本单位制造的货物、承担的工程或者服务（以下简称产品），或者提供其他残疾人福利性单位制造的货物（不包括使用非残疾人福利性单位注册商标的货物）；</w:t>
      </w:r>
    </w:p>
    <w:p>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8"/>
        </w:numPr>
        <w:snapToGrid w:val="0"/>
        <w:spacing w:line="360" w:lineRule="auto"/>
        <w:rPr>
          <w:rFonts w:ascii="宋体" w:hAnsi="宋体"/>
          <w:sz w:val="24"/>
        </w:rPr>
      </w:pPr>
      <w:r>
        <w:rPr>
          <w:rFonts w:ascii="宋体" w:hAnsi="宋体"/>
          <w:sz w:val="24"/>
        </w:rPr>
        <w:t>本项目是否专门面向中小企业预留采购份额见第一章《</w:t>
      </w:r>
      <w:r>
        <w:rPr>
          <w:rFonts w:hint="eastAsia" w:ascii="宋体" w:hAnsi="宋体"/>
          <w:sz w:val="24"/>
        </w:rPr>
        <w:t>比选邀请</w:t>
      </w:r>
      <w:r>
        <w:rPr>
          <w:rFonts w:ascii="宋体" w:hAnsi="宋体"/>
          <w:sz w:val="24"/>
        </w:rPr>
        <w:t>》。</w:t>
      </w:r>
    </w:p>
    <w:p>
      <w:pPr>
        <w:numPr>
          <w:ilvl w:val="2"/>
          <w:numId w:val="8"/>
        </w:numPr>
        <w:snapToGrid w:val="0"/>
        <w:spacing w:line="360" w:lineRule="auto"/>
        <w:rPr>
          <w:rFonts w:ascii="宋体" w:hAnsi="宋体"/>
          <w:sz w:val="24"/>
        </w:rPr>
      </w:pPr>
      <w:r>
        <w:rPr>
          <w:rFonts w:ascii="宋体" w:hAnsi="宋体"/>
          <w:sz w:val="24"/>
        </w:rPr>
        <w:t>采购标的对应的中小企业划分标准所属行业见《</w:t>
      </w:r>
      <w:r>
        <w:rPr>
          <w:rFonts w:hint="eastAsia" w:ascii="宋体" w:hAnsi="宋体"/>
          <w:sz w:val="24"/>
        </w:rPr>
        <w:t>供应商</w:t>
      </w:r>
      <w:r>
        <w:rPr>
          <w:rFonts w:ascii="宋体" w:hAnsi="宋体"/>
          <w:sz w:val="24"/>
        </w:rPr>
        <w:t>须知资料表》。</w:t>
      </w:r>
    </w:p>
    <w:p>
      <w:pPr>
        <w:numPr>
          <w:ilvl w:val="2"/>
          <w:numId w:val="8"/>
        </w:numPr>
        <w:snapToGrid w:val="0"/>
        <w:spacing w:line="360" w:lineRule="auto"/>
        <w:rPr>
          <w:rFonts w:ascii="宋体" w:hAnsi="宋体"/>
          <w:sz w:val="24"/>
        </w:rPr>
      </w:pPr>
      <w:r>
        <w:rPr>
          <w:rFonts w:ascii="宋体" w:hAnsi="宋体"/>
          <w:sz w:val="24"/>
        </w:rPr>
        <w:t>小微企业价格评审优惠的政策调整：见第</w:t>
      </w:r>
      <w:r>
        <w:rPr>
          <w:rFonts w:hint="eastAsia" w:ascii="宋体" w:hAnsi="宋体"/>
          <w:sz w:val="24"/>
        </w:rPr>
        <w:t>三</w:t>
      </w:r>
      <w:r>
        <w:rPr>
          <w:rFonts w:ascii="宋体" w:hAnsi="宋体"/>
          <w:sz w:val="24"/>
        </w:rPr>
        <w:t>章《评</w:t>
      </w:r>
      <w:r>
        <w:rPr>
          <w:rFonts w:hint="eastAsia" w:ascii="宋体" w:hAnsi="宋体"/>
          <w:sz w:val="24"/>
        </w:rPr>
        <w:t>审</w:t>
      </w:r>
      <w:r>
        <w:rPr>
          <w:rFonts w:ascii="宋体" w:hAnsi="宋体"/>
          <w:sz w:val="24"/>
        </w:rPr>
        <w:t>方法</w:t>
      </w:r>
      <w:r>
        <w:rPr>
          <w:rFonts w:hint="eastAsia" w:ascii="宋体" w:hAnsi="宋体"/>
          <w:sz w:val="24"/>
        </w:rPr>
        <w:t>和</w:t>
      </w:r>
      <w:r>
        <w:rPr>
          <w:rFonts w:ascii="宋体" w:hAnsi="宋体"/>
          <w:sz w:val="24"/>
        </w:rPr>
        <w:t>评</w:t>
      </w:r>
      <w:r>
        <w:rPr>
          <w:rFonts w:hint="eastAsia" w:ascii="宋体" w:hAnsi="宋体"/>
          <w:sz w:val="24"/>
        </w:rPr>
        <w:t>审</w:t>
      </w:r>
      <w:r>
        <w:rPr>
          <w:rFonts w:ascii="宋体" w:hAnsi="宋体"/>
          <w:sz w:val="24"/>
        </w:rPr>
        <w:t>程序》。</w:t>
      </w:r>
    </w:p>
    <w:p>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政府采购节能产品、环境标志产品</w:t>
      </w:r>
    </w:p>
    <w:p>
      <w:pPr>
        <w:numPr>
          <w:ilvl w:val="2"/>
          <w:numId w:val="8"/>
        </w:numPr>
        <w:snapToGrid w:val="0"/>
        <w:spacing w:line="360" w:lineRule="auto"/>
        <w:rPr>
          <w:rFonts w:ascii="宋体" w:hAnsi="宋体"/>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8"/>
        </w:numPr>
        <w:snapToGrid w:val="0"/>
        <w:spacing w:line="360" w:lineRule="auto"/>
        <w:rPr>
          <w:rFonts w:ascii="宋体" w:hAnsi="宋体"/>
          <w:sz w:val="24"/>
        </w:rPr>
      </w:pP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numPr>
          <w:ilvl w:val="2"/>
          <w:numId w:val="8"/>
        </w:numPr>
        <w:snapToGrid w:val="0"/>
        <w:spacing w:line="360" w:lineRule="auto"/>
        <w:rPr>
          <w:rFonts w:ascii="宋体" w:hAnsi="宋体"/>
          <w:sz w:val="24"/>
        </w:rPr>
      </w:pPr>
      <w:r>
        <w:rPr>
          <w:rFonts w:ascii="宋体" w:hAnsi="宋体"/>
          <w:sz w:val="24"/>
        </w:rPr>
        <w:t>如本项目采购产品属于实施政府强制采购品目清单范围的节能产品，则</w:t>
      </w:r>
      <w:r>
        <w:rPr>
          <w:rFonts w:hint="eastAsia" w:ascii="宋体" w:hAnsi="宋体"/>
          <w:sz w:val="24"/>
        </w:rPr>
        <w:t>供应商</w:t>
      </w:r>
      <w:r>
        <w:rPr>
          <w:rFonts w:ascii="宋体" w:hAnsi="宋体"/>
          <w:sz w:val="24"/>
        </w:rPr>
        <w:t>所报产品必须获得国家确定的认证机构出具的、处于有效期之内的节能产品认证证书，</w:t>
      </w:r>
      <w:r>
        <w:rPr>
          <w:rFonts w:ascii="宋体" w:hAnsi="宋体"/>
          <w:kern w:val="0"/>
          <w:sz w:val="24"/>
        </w:rPr>
        <w:t>否则</w:t>
      </w:r>
      <w:r>
        <w:rPr>
          <w:rFonts w:hint="eastAsia" w:ascii="宋体" w:hAnsi="宋体"/>
          <w:b/>
          <w:kern w:val="0"/>
          <w:sz w:val="24"/>
        </w:rPr>
        <w:t>响应</w:t>
      </w:r>
      <w:r>
        <w:rPr>
          <w:rFonts w:ascii="宋体" w:hAnsi="宋体"/>
          <w:b/>
          <w:kern w:val="0"/>
          <w:sz w:val="24"/>
        </w:rPr>
        <w:t>无效</w:t>
      </w:r>
      <w:r>
        <w:rPr>
          <w:rFonts w:ascii="宋体" w:hAnsi="宋体"/>
          <w:sz w:val="24"/>
        </w:rPr>
        <w:t>；</w:t>
      </w:r>
    </w:p>
    <w:p>
      <w:pPr>
        <w:numPr>
          <w:ilvl w:val="2"/>
          <w:numId w:val="8"/>
        </w:numPr>
        <w:snapToGrid w:val="0"/>
        <w:spacing w:line="360" w:lineRule="auto"/>
        <w:rPr>
          <w:rFonts w:ascii="宋体" w:hAnsi="宋体"/>
          <w:sz w:val="24"/>
        </w:rPr>
      </w:pPr>
      <w:r>
        <w:rPr>
          <w:rFonts w:ascii="宋体" w:hAnsi="宋体"/>
          <w:sz w:val="24"/>
        </w:rPr>
        <w:t>非政府强制采购的节能产品或环境标志产品，依据品目清单和认证证书实施政府优先采购。优先采购的具体规定见第</w:t>
      </w:r>
      <w:r>
        <w:rPr>
          <w:rFonts w:hint="eastAsia" w:ascii="宋体" w:hAnsi="宋体"/>
          <w:sz w:val="24"/>
        </w:rPr>
        <w:t>三</w:t>
      </w:r>
      <w:r>
        <w:rPr>
          <w:rFonts w:ascii="宋体" w:hAnsi="宋体"/>
          <w:sz w:val="24"/>
        </w:rPr>
        <w:t>章《评</w:t>
      </w:r>
      <w:r>
        <w:rPr>
          <w:rFonts w:hint="eastAsia" w:ascii="宋体" w:hAnsi="宋体"/>
          <w:sz w:val="24"/>
        </w:rPr>
        <w:t>审</w:t>
      </w:r>
      <w:r>
        <w:rPr>
          <w:rFonts w:ascii="宋体" w:hAnsi="宋体"/>
          <w:sz w:val="24"/>
        </w:rPr>
        <w:t>方法</w:t>
      </w:r>
      <w:r>
        <w:rPr>
          <w:rFonts w:hint="eastAsia" w:ascii="宋体" w:hAnsi="宋体"/>
          <w:sz w:val="24"/>
        </w:rPr>
        <w:t>和</w:t>
      </w:r>
      <w:r>
        <w:rPr>
          <w:rFonts w:ascii="宋体" w:hAnsi="宋体"/>
          <w:sz w:val="24"/>
        </w:rPr>
        <w:t>评</w:t>
      </w:r>
      <w:r>
        <w:rPr>
          <w:rFonts w:hint="eastAsia" w:ascii="宋体" w:hAnsi="宋体"/>
          <w:sz w:val="24"/>
        </w:rPr>
        <w:t>审</w:t>
      </w:r>
      <w:r>
        <w:rPr>
          <w:rFonts w:ascii="宋体" w:hAnsi="宋体"/>
          <w:sz w:val="24"/>
        </w:rPr>
        <w:t>程序》（如涉及）。</w:t>
      </w:r>
    </w:p>
    <w:p>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支持乡村产业振兴管理</w:t>
      </w:r>
    </w:p>
    <w:p>
      <w:pPr>
        <w:numPr>
          <w:ilvl w:val="2"/>
          <w:numId w:val="8"/>
        </w:numPr>
        <w:tabs>
          <w:tab w:val="left" w:pos="2014"/>
        </w:tabs>
        <w:snapToGrid w:val="0"/>
        <w:spacing w:line="360" w:lineRule="auto"/>
        <w:rPr>
          <w:rFonts w:ascii="宋体" w:hAnsi="宋体"/>
          <w:sz w:val="24"/>
        </w:rPr>
      </w:pPr>
      <w:r>
        <w:rPr>
          <w:rFonts w:ascii="宋体" w:hAnsi="宋体"/>
          <w:sz w:val="24"/>
        </w:rPr>
        <w:t>为落实《关于运用政府采购政策支持乡村产业振兴的通知》（财库〔2021〕19号）有关要求，做好支持脱贫攻坚工作，本项目采购活动中对于支持乡村振兴管理的相关要求见</w:t>
      </w:r>
      <w:r>
        <w:rPr>
          <w:rFonts w:hint="eastAsia" w:ascii="宋体" w:hAnsi="宋体"/>
          <w:sz w:val="24"/>
        </w:rPr>
        <w:t>第四章《采购需求》</w:t>
      </w:r>
      <w:r>
        <w:rPr>
          <w:rFonts w:ascii="宋体" w:hAnsi="宋体"/>
          <w:sz w:val="24"/>
        </w:rPr>
        <w:t>（如涉及）。</w:t>
      </w:r>
    </w:p>
    <w:p>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正版软件</w:t>
      </w:r>
    </w:p>
    <w:p>
      <w:pPr>
        <w:numPr>
          <w:ilvl w:val="2"/>
          <w:numId w:val="8"/>
        </w:numPr>
        <w:snapToGrid w:val="0"/>
        <w:spacing w:line="360" w:lineRule="auto"/>
        <w:rPr>
          <w:rFonts w:ascii="宋体" w:hAnsi="宋体"/>
          <w:sz w:val="24"/>
        </w:rPr>
      </w:pPr>
      <w:r>
        <w:rPr>
          <w:rFonts w:ascii="宋体" w:hAnsi="宋体"/>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宋体" w:hAnsi="宋体"/>
          <w:kern w:val="0"/>
          <w:sz w:val="24"/>
        </w:rPr>
        <w:t>否则</w:t>
      </w:r>
      <w:r>
        <w:rPr>
          <w:rFonts w:hint="eastAsia" w:ascii="宋体" w:hAnsi="宋体"/>
          <w:b/>
          <w:kern w:val="0"/>
          <w:sz w:val="24"/>
        </w:rPr>
        <w:t>响应</w:t>
      </w:r>
      <w:r>
        <w:rPr>
          <w:rFonts w:ascii="宋体" w:hAnsi="宋体"/>
          <w:b/>
          <w:kern w:val="0"/>
          <w:sz w:val="24"/>
        </w:rPr>
        <w:t>无效</w:t>
      </w:r>
      <w:r>
        <w:rPr>
          <w:rFonts w:ascii="宋体" w:hAnsi="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8"/>
        </w:numPr>
        <w:snapToGrid w:val="0"/>
        <w:spacing w:line="360" w:lineRule="auto"/>
        <w:rPr>
          <w:rFonts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信息安全产品</w:t>
      </w:r>
    </w:p>
    <w:p>
      <w:pPr>
        <w:numPr>
          <w:ilvl w:val="2"/>
          <w:numId w:val="8"/>
        </w:numPr>
        <w:tabs>
          <w:tab w:val="left" w:pos="2014"/>
        </w:tabs>
        <w:snapToGrid w:val="0"/>
        <w:spacing w:line="360" w:lineRule="auto"/>
        <w:rPr>
          <w:rFonts w:ascii="宋体" w:hAnsi="宋体"/>
          <w:sz w:val="24"/>
        </w:rPr>
      </w:pPr>
      <w:r>
        <w:rPr>
          <w:rFonts w:ascii="宋体" w:hAnsi="宋体"/>
          <w:sz w:val="24"/>
        </w:rPr>
        <w:t>所投产品属于《关于调整信息安全产品强制性认证实施要求的公告》（2009 年第33 号）范围的，采购经国家认证的信息安全产品，</w:t>
      </w:r>
      <w:r>
        <w:rPr>
          <w:rFonts w:ascii="宋体" w:hAnsi="宋体"/>
          <w:kern w:val="0"/>
          <w:sz w:val="24"/>
        </w:rPr>
        <w:t>否则</w:t>
      </w:r>
      <w:r>
        <w:rPr>
          <w:rFonts w:hint="eastAsia" w:ascii="宋体" w:hAnsi="宋体"/>
          <w:b/>
          <w:kern w:val="0"/>
          <w:sz w:val="24"/>
        </w:rPr>
        <w:t>响应</w:t>
      </w:r>
      <w:r>
        <w:rPr>
          <w:rFonts w:ascii="宋体" w:hAnsi="宋体"/>
          <w:b/>
          <w:kern w:val="0"/>
          <w:sz w:val="24"/>
        </w:rPr>
        <w:t>无效</w:t>
      </w:r>
      <w:r>
        <w:rPr>
          <w:rFonts w:ascii="宋体" w:hAnsi="宋体"/>
          <w:sz w:val="24"/>
        </w:rPr>
        <w:t>。关于信息安全相关规定依据《关于信息安全产品实施政府采购的通知》（财库〔2010〕48 号）。</w:t>
      </w:r>
    </w:p>
    <w:p>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推广使用低挥发性有机化合物（VOCs）</w:t>
      </w:r>
    </w:p>
    <w:p>
      <w:pPr>
        <w:numPr>
          <w:ilvl w:val="2"/>
          <w:numId w:val="8"/>
        </w:numPr>
        <w:tabs>
          <w:tab w:val="left" w:pos="2014"/>
        </w:tabs>
        <w:snapToGrid w:val="0"/>
        <w:spacing w:line="360" w:lineRule="auto"/>
        <w:rPr>
          <w:rFonts w:ascii="宋体" w:hAnsi="宋体"/>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w:t>
      </w:r>
      <w:r>
        <w:rPr>
          <w:rFonts w:hint="eastAsia" w:ascii="宋体" w:hAnsi="宋体"/>
          <w:sz w:val="24"/>
        </w:rPr>
        <w:t>第四章《采购需求》</w:t>
      </w:r>
      <w:r>
        <w:rPr>
          <w:rFonts w:ascii="宋体" w:hAnsi="宋体"/>
          <w:sz w:val="24"/>
        </w:rPr>
        <w:t>），</w:t>
      </w:r>
      <w:r>
        <w:rPr>
          <w:rFonts w:ascii="宋体" w:hAnsi="宋体"/>
          <w:kern w:val="0"/>
          <w:sz w:val="24"/>
        </w:rPr>
        <w:t>否则</w:t>
      </w:r>
      <w:r>
        <w:rPr>
          <w:rFonts w:hint="eastAsia" w:ascii="宋体" w:hAnsi="宋体"/>
          <w:b/>
          <w:kern w:val="0"/>
          <w:sz w:val="24"/>
        </w:rPr>
        <w:t>响应</w:t>
      </w:r>
      <w:r>
        <w:rPr>
          <w:rFonts w:ascii="宋体" w:hAnsi="宋体"/>
          <w:b/>
          <w:kern w:val="0"/>
          <w:sz w:val="24"/>
        </w:rPr>
        <w:t>无效</w:t>
      </w:r>
      <w:r>
        <w:rPr>
          <w:rFonts w:ascii="宋体" w:hAnsi="宋体"/>
          <w:sz w:val="24"/>
        </w:rPr>
        <w:t>；属于推荐性标准的，优先采购，具体见第</w:t>
      </w:r>
      <w:r>
        <w:rPr>
          <w:rFonts w:hint="eastAsia" w:ascii="宋体" w:hAnsi="宋体"/>
          <w:sz w:val="24"/>
        </w:rPr>
        <w:t>三</w:t>
      </w:r>
      <w:r>
        <w:rPr>
          <w:rFonts w:ascii="宋体" w:hAnsi="宋体"/>
          <w:sz w:val="24"/>
        </w:rPr>
        <w:t>章《评</w:t>
      </w:r>
      <w:r>
        <w:rPr>
          <w:rFonts w:hint="eastAsia" w:ascii="宋体" w:hAnsi="宋体"/>
          <w:sz w:val="24"/>
        </w:rPr>
        <w:t>审</w:t>
      </w:r>
      <w:r>
        <w:rPr>
          <w:rFonts w:ascii="宋体" w:hAnsi="宋体"/>
          <w:sz w:val="24"/>
        </w:rPr>
        <w:t>方法</w:t>
      </w:r>
      <w:r>
        <w:rPr>
          <w:rFonts w:hint="eastAsia" w:ascii="宋体" w:hAnsi="宋体"/>
          <w:sz w:val="24"/>
        </w:rPr>
        <w:t>和</w:t>
      </w:r>
      <w:r>
        <w:rPr>
          <w:rFonts w:ascii="宋体" w:hAnsi="宋体"/>
          <w:sz w:val="24"/>
        </w:rPr>
        <w:t>评</w:t>
      </w:r>
      <w:r>
        <w:rPr>
          <w:rFonts w:hint="eastAsia" w:ascii="宋体" w:hAnsi="宋体"/>
          <w:sz w:val="24"/>
        </w:rPr>
        <w:t>审</w:t>
      </w:r>
      <w:r>
        <w:rPr>
          <w:rFonts w:ascii="宋体" w:hAnsi="宋体"/>
          <w:sz w:val="24"/>
        </w:rPr>
        <w:t>程序》。</w:t>
      </w:r>
    </w:p>
    <w:p>
      <w:pPr>
        <w:numPr>
          <w:ilvl w:val="0"/>
          <w:numId w:val="8"/>
        </w:numPr>
        <w:tabs>
          <w:tab w:val="left" w:pos="360"/>
        </w:tabs>
        <w:snapToGrid w:val="0"/>
        <w:spacing w:line="360" w:lineRule="auto"/>
        <w:ind w:left="357" w:hanging="357"/>
        <w:outlineLvl w:val="1"/>
        <w:rPr>
          <w:rFonts w:ascii="宋体" w:hAnsi="宋体"/>
          <w:sz w:val="24"/>
        </w:rPr>
      </w:pPr>
      <w:r>
        <w:rPr>
          <w:rFonts w:hint="eastAsia" w:ascii="宋体" w:hAnsi="宋体"/>
          <w:sz w:val="24"/>
        </w:rPr>
        <w:t>响应</w:t>
      </w:r>
      <w:r>
        <w:rPr>
          <w:rFonts w:ascii="宋体" w:hAnsi="宋体"/>
          <w:sz w:val="24"/>
        </w:rPr>
        <w:t>费用</w:t>
      </w:r>
    </w:p>
    <w:p>
      <w:pPr>
        <w:numPr>
          <w:ilvl w:val="1"/>
          <w:numId w:val="8"/>
        </w:numPr>
        <w:tabs>
          <w:tab w:val="left" w:pos="1080"/>
          <w:tab w:val="left" w:pos="2014"/>
        </w:tabs>
        <w:snapToGrid w:val="0"/>
        <w:spacing w:line="360" w:lineRule="auto"/>
        <w:ind w:left="1080" w:hanging="720"/>
        <w:rPr>
          <w:rFonts w:ascii="宋体" w:hAnsi="宋体"/>
          <w:sz w:val="24"/>
        </w:rPr>
      </w:pPr>
      <w:r>
        <w:rPr>
          <w:rFonts w:hint="eastAsia" w:ascii="宋体" w:hAnsi="宋体"/>
          <w:sz w:val="24"/>
        </w:rPr>
        <w:t>供应商</w:t>
      </w:r>
      <w:r>
        <w:rPr>
          <w:rFonts w:ascii="宋体" w:hAnsi="宋体"/>
          <w:sz w:val="24"/>
        </w:rPr>
        <w:t>应自行承担所有与准备和参加</w:t>
      </w:r>
      <w:r>
        <w:rPr>
          <w:rFonts w:hint="eastAsia" w:ascii="宋体" w:hAnsi="宋体"/>
          <w:sz w:val="24"/>
        </w:rPr>
        <w:t>响应</w:t>
      </w:r>
      <w:r>
        <w:rPr>
          <w:rFonts w:ascii="宋体" w:hAnsi="宋体"/>
          <w:sz w:val="24"/>
        </w:rPr>
        <w:t>有关的费用，无论</w:t>
      </w:r>
      <w:r>
        <w:rPr>
          <w:rFonts w:hint="eastAsia" w:ascii="宋体" w:hAnsi="宋体"/>
          <w:sz w:val="24"/>
        </w:rPr>
        <w:t>响应</w:t>
      </w:r>
      <w:r>
        <w:rPr>
          <w:rFonts w:ascii="宋体" w:hAnsi="宋体"/>
          <w:sz w:val="24"/>
        </w:rPr>
        <w:t>的结果如何，采购人或采购代理机构在任何情况下均无承担这些费用的义务和责任。</w:t>
      </w:r>
    </w:p>
    <w:p>
      <w:pPr>
        <w:pStyle w:val="5"/>
        <w:spacing w:before="0" w:line="360" w:lineRule="auto"/>
        <w:rPr>
          <w:rFonts w:ascii="宋体" w:hAnsi="宋体" w:eastAsia="宋体"/>
          <w:sz w:val="28"/>
        </w:rPr>
      </w:pPr>
      <w:bookmarkStart w:id="170" w:name="_1.8_计量单位"/>
      <w:bookmarkEnd w:id="170"/>
      <w:r>
        <w:rPr>
          <w:rFonts w:ascii="宋体" w:hAnsi="宋体" w:eastAsia="宋体"/>
          <w:sz w:val="28"/>
        </w:rPr>
        <w:t xml:space="preserve">二  </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hint="eastAsia" w:ascii="宋体" w:hAnsi="宋体" w:eastAsia="宋体"/>
          <w:sz w:val="28"/>
        </w:rPr>
        <w:t>比选文件</w:t>
      </w:r>
    </w:p>
    <w:p>
      <w:pPr>
        <w:numPr>
          <w:ilvl w:val="0"/>
          <w:numId w:val="8"/>
        </w:numPr>
        <w:tabs>
          <w:tab w:val="left" w:pos="360"/>
        </w:tabs>
        <w:snapToGrid w:val="0"/>
        <w:spacing w:line="360" w:lineRule="auto"/>
        <w:ind w:left="357" w:hanging="357"/>
        <w:outlineLvl w:val="1"/>
        <w:rPr>
          <w:rFonts w:ascii="宋体" w:hAnsi="宋体"/>
          <w:sz w:val="24"/>
        </w:rPr>
      </w:pPr>
      <w:bookmarkStart w:id="171" w:name="_Toc226965796"/>
      <w:bookmarkStart w:id="172" w:name="_Toc305158865"/>
      <w:bookmarkStart w:id="173" w:name="_Toc142311025"/>
      <w:bookmarkStart w:id="174" w:name="_Toc127151523"/>
      <w:bookmarkStart w:id="175" w:name="_Toc150774728"/>
      <w:bookmarkStart w:id="176" w:name="_Toc151193911"/>
      <w:bookmarkStart w:id="177" w:name="_Toc151193621"/>
      <w:bookmarkStart w:id="178" w:name="_Toc151193693"/>
      <w:bookmarkStart w:id="179" w:name="_Toc520356147"/>
      <w:bookmarkStart w:id="180" w:name="_Toc150774623"/>
      <w:bookmarkStart w:id="181" w:name="_Toc151193837"/>
      <w:bookmarkStart w:id="182" w:name="_Toc164351617"/>
      <w:bookmarkStart w:id="183" w:name="_Toc127151724"/>
      <w:bookmarkStart w:id="184" w:name="_Toc149720816"/>
      <w:bookmarkStart w:id="185" w:name="_Toc305158791"/>
      <w:bookmarkStart w:id="186" w:name="_Toc226309767"/>
      <w:bookmarkStart w:id="187" w:name="_Toc164229364"/>
      <w:bookmarkStart w:id="188" w:name="_Toc195842888"/>
      <w:bookmarkStart w:id="189" w:name="_Toc150509274"/>
      <w:bookmarkStart w:id="190" w:name="_Toc226337219"/>
      <w:bookmarkStart w:id="191" w:name="_Toc265228361"/>
      <w:bookmarkStart w:id="192" w:name="_Toc264969213"/>
      <w:bookmarkStart w:id="193" w:name="_Toc226965713"/>
      <w:bookmarkStart w:id="194" w:name="_Toc164608637"/>
      <w:bookmarkStart w:id="195" w:name="_Toc151190150"/>
      <w:bookmarkStart w:id="196" w:name="_Toc164229218"/>
      <w:bookmarkStart w:id="197" w:name="_Toc151193765"/>
      <w:bookmarkStart w:id="198" w:name="_Toc127161437"/>
      <w:bookmarkStart w:id="199" w:name="_Toc164608792"/>
      <w:bookmarkStart w:id="200" w:name="_Toc150480761"/>
      <w:r>
        <w:rPr>
          <w:rFonts w:hint="eastAsia" w:ascii="宋体" w:hAnsi="宋体"/>
          <w:sz w:val="24"/>
        </w:rPr>
        <w:t>比选文件</w:t>
      </w:r>
      <w:r>
        <w:rPr>
          <w:rFonts w:ascii="宋体" w:hAnsi="宋体"/>
          <w:sz w:val="24"/>
        </w:rPr>
        <w:t>构</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Fonts w:ascii="宋体" w:hAnsi="宋体"/>
          <w:sz w:val="24"/>
        </w:rPr>
        <w:t>成</w:t>
      </w:r>
    </w:p>
    <w:p>
      <w:pPr>
        <w:numPr>
          <w:ilvl w:val="1"/>
          <w:numId w:val="8"/>
        </w:numPr>
        <w:tabs>
          <w:tab w:val="left" w:pos="1080"/>
          <w:tab w:val="left" w:pos="2014"/>
        </w:tabs>
        <w:snapToGrid w:val="0"/>
        <w:spacing w:line="360" w:lineRule="auto"/>
        <w:ind w:left="1080" w:hanging="720"/>
        <w:rPr>
          <w:rFonts w:ascii="宋体" w:hAnsi="宋体"/>
          <w:sz w:val="24"/>
        </w:rPr>
      </w:pPr>
      <w:r>
        <w:rPr>
          <w:rFonts w:hint="eastAsia" w:ascii="宋体" w:hAnsi="宋体"/>
          <w:sz w:val="24"/>
        </w:rPr>
        <w:t>要求提供货物与服务的内容及详细技术需求、响应须知和合同条件等在比选文件中均有说明。比选文件</w:t>
      </w:r>
      <w:r>
        <w:rPr>
          <w:rFonts w:ascii="宋体" w:hAnsi="宋体"/>
          <w:sz w:val="24"/>
        </w:rPr>
        <w:t>包括以下部分：</w:t>
      </w:r>
    </w:p>
    <w:p>
      <w:pPr>
        <w:numPr>
          <w:ilvl w:val="0"/>
          <w:numId w:val="9"/>
        </w:numPr>
        <w:tabs>
          <w:tab w:val="left" w:pos="1980"/>
          <w:tab w:val="left" w:pos="2520"/>
        </w:tabs>
        <w:snapToGrid w:val="0"/>
        <w:spacing w:line="360" w:lineRule="auto"/>
        <w:ind w:left="1440" w:firstLine="5"/>
        <w:rPr>
          <w:rFonts w:ascii="宋体" w:hAnsi="宋体"/>
          <w:sz w:val="24"/>
        </w:rPr>
      </w:pPr>
      <w:r>
        <w:rPr>
          <w:rFonts w:hint="eastAsia" w:ascii="宋体" w:hAnsi="宋体"/>
          <w:sz w:val="24"/>
        </w:rPr>
        <w:t>比选邀请</w:t>
      </w:r>
    </w:p>
    <w:p>
      <w:pPr>
        <w:numPr>
          <w:ilvl w:val="0"/>
          <w:numId w:val="9"/>
        </w:numPr>
        <w:tabs>
          <w:tab w:val="left" w:pos="1980"/>
          <w:tab w:val="left" w:pos="2520"/>
        </w:tabs>
        <w:snapToGrid w:val="0"/>
        <w:spacing w:line="360" w:lineRule="auto"/>
        <w:ind w:left="1440" w:firstLine="5"/>
        <w:rPr>
          <w:rFonts w:ascii="宋体" w:hAnsi="宋体"/>
          <w:sz w:val="24"/>
        </w:rPr>
      </w:pPr>
      <w:r>
        <w:rPr>
          <w:rFonts w:hint="eastAsia" w:ascii="宋体" w:hAnsi="宋体"/>
          <w:sz w:val="24"/>
        </w:rPr>
        <w:t>供应商</w:t>
      </w:r>
      <w:r>
        <w:rPr>
          <w:rFonts w:ascii="宋体" w:hAnsi="宋体"/>
          <w:sz w:val="24"/>
        </w:rPr>
        <w:t>须知</w:t>
      </w:r>
    </w:p>
    <w:p>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t>评</w:t>
      </w:r>
      <w:r>
        <w:rPr>
          <w:rFonts w:hint="eastAsia" w:ascii="宋体" w:hAnsi="宋体"/>
          <w:sz w:val="24"/>
        </w:rPr>
        <w:t>审</w:t>
      </w:r>
      <w:r>
        <w:rPr>
          <w:rFonts w:ascii="宋体" w:hAnsi="宋体"/>
          <w:sz w:val="24"/>
        </w:rPr>
        <w:t>方法</w:t>
      </w:r>
      <w:r>
        <w:rPr>
          <w:rFonts w:hint="eastAsia" w:ascii="宋体" w:hAnsi="宋体"/>
          <w:sz w:val="24"/>
        </w:rPr>
        <w:t>和</w:t>
      </w:r>
      <w:r>
        <w:rPr>
          <w:rFonts w:ascii="宋体" w:hAnsi="宋体"/>
          <w:sz w:val="24"/>
        </w:rPr>
        <w:t>评</w:t>
      </w:r>
      <w:r>
        <w:rPr>
          <w:rFonts w:hint="eastAsia" w:ascii="宋体" w:hAnsi="宋体"/>
          <w:sz w:val="24"/>
        </w:rPr>
        <w:t>审</w:t>
      </w:r>
      <w:r>
        <w:rPr>
          <w:rFonts w:ascii="宋体" w:hAnsi="宋体"/>
          <w:sz w:val="24"/>
        </w:rPr>
        <w:t>程序</w:t>
      </w:r>
    </w:p>
    <w:p>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t>采购需求</w:t>
      </w:r>
    </w:p>
    <w:p>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t>拟签订的合同文本</w:t>
      </w:r>
    </w:p>
    <w:p>
      <w:pPr>
        <w:numPr>
          <w:ilvl w:val="0"/>
          <w:numId w:val="9"/>
        </w:numPr>
        <w:tabs>
          <w:tab w:val="left" w:pos="1980"/>
          <w:tab w:val="left" w:pos="2520"/>
        </w:tabs>
        <w:snapToGrid w:val="0"/>
        <w:spacing w:line="360" w:lineRule="auto"/>
        <w:ind w:left="1440" w:firstLine="5"/>
        <w:rPr>
          <w:rFonts w:ascii="宋体" w:hAnsi="宋体"/>
          <w:sz w:val="24"/>
        </w:rPr>
      </w:pPr>
      <w:r>
        <w:rPr>
          <w:rFonts w:hint="eastAsia" w:ascii="宋体" w:hAnsi="宋体"/>
          <w:sz w:val="24"/>
        </w:rPr>
        <w:t>响应文件</w:t>
      </w:r>
      <w:r>
        <w:rPr>
          <w:rFonts w:ascii="宋体" w:hAnsi="宋体"/>
          <w:sz w:val="24"/>
        </w:rPr>
        <w:t>格式</w:t>
      </w:r>
    </w:p>
    <w:p>
      <w:pPr>
        <w:numPr>
          <w:ilvl w:val="1"/>
          <w:numId w:val="8"/>
        </w:numPr>
        <w:tabs>
          <w:tab w:val="left" w:pos="1080"/>
          <w:tab w:val="left" w:pos="2014"/>
        </w:tabs>
        <w:snapToGrid w:val="0"/>
        <w:spacing w:line="360" w:lineRule="auto"/>
        <w:ind w:left="1080" w:hanging="720"/>
        <w:rPr>
          <w:sz w:val="24"/>
        </w:rPr>
      </w:pPr>
      <w:r>
        <w:rPr>
          <w:rFonts w:hint="eastAsia"/>
          <w:sz w:val="24"/>
        </w:rPr>
        <w:t>供应商</w:t>
      </w:r>
      <w:r>
        <w:rPr>
          <w:sz w:val="24"/>
        </w:rPr>
        <w:t>应认真阅读</w:t>
      </w:r>
      <w:r>
        <w:rPr>
          <w:rFonts w:hint="eastAsia"/>
          <w:sz w:val="24"/>
        </w:rPr>
        <w:t>比选文件</w:t>
      </w:r>
      <w:r>
        <w:rPr>
          <w:sz w:val="24"/>
        </w:rPr>
        <w:t>的全部内容。</w:t>
      </w:r>
      <w:r>
        <w:rPr>
          <w:rFonts w:hint="eastAsia"/>
          <w:sz w:val="24"/>
        </w:rPr>
        <w:t>供应商</w:t>
      </w:r>
      <w:r>
        <w:rPr>
          <w:sz w:val="24"/>
        </w:rPr>
        <w:t>应按照</w:t>
      </w:r>
      <w:r>
        <w:rPr>
          <w:rFonts w:hint="eastAsia"/>
          <w:sz w:val="24"/>
        </w:rPr>
        <w:t>比选文件</w:t>
      </w:r>
      <w:r>
        <w:rPr>
          <w:sz w:val="24"/>
        </w:rPr>
        <w:t>要求提交</w:t>
      </w:r>
      <w:r>
        <w:rPr>
          <w:rFonts w:hint="eastAsia"/>
          <w:sz w:val="24"/>
        </w:rPr>
        <w:t>响应文件</w:t>
      </w:r>
      <w:r>
        <w:rPr>
          <w:sz w:val="24"/>
        </w:rPr>
        <w:t>并保证所提供的全部资料的真实性，并对</w:t>
      </w:r>
      <w:r>
        <w:rPr>
          <w:rFonts w:hint="eastAsia"/>
          <w:sz w:val="24"/>
        </w:rPr>
        <w:t>比选文件</w:t>
      </w:r>
      <w:r>
        <w:rPr>
          <w:sz w:val="24"/>
        </w:rPr>
        <w:t>做出实质性响应，否则</w:t>
      </w:r>
      <w:r>
        <w:rPr>
          <w:rFonts w:hint="eastAsia"/>
          <w:b/>
          <w:sz w:val="24"/>
        </w:rPr>
        <w:t>响应</w:t>
      </w:r>
      <w:r>
        <w:rPr>
          <w:b/>
          <w:sz w:val="24"/>
        </w:rPr>
        <w:t>无效</w:t>
      </w:r>
      <w:r>
        <w:rPr>
          <w:sz w:val="24"/>
        </w:rPr>
        <w:t>。</w:t>
      </w:r>
    </w:p>
    <w:p>
      <w:pPr>
        <w:numPr>
          <w:ilvl w:val="1"/>
          <w:numId w:val="8"/>
        </w:numPr>
        <w:tabs>
          <w:tab w:val="left" w:pos="1080"/>
          <w:tab w:val="left" w:pos="2014"/>
        </w:tabs>
        <w:snapToGrid w:val="0"/>
        <w:spacing w:line="360" w:lineRule="auto"/>
        <w:ind w:left="1080" w:hanging="720"/>
        <w:rPr>
          <w:rFonts w:ascii="宋体" w:hAnsi="宋体"/>
          <w:sz w:val="24"/>
        </w:rPr>
      </w:pPr>
      <w:r>
        <w:rPr>
          <w:rFonts w:hint="eastAsia" w:ascii="宋体" w:hAnsi="宋体"/>
          <w:sz w:val="24"/>
        </w:rPr>
        <w:t>供应商应注意比选文件第四章《采购需求》中指出的工艺、材料和设备的标准，以及参照的牌号或分类号仅起说明作用，并没有任何限制性。供应商在响应中可以选用替代标准、牌号或分类号，但这些替代要实质上相当于或优于</w:t>
      </w:r>
      <w:r>
        <w:rPr>
          <w:rFonts w:ascii="宋体" w:hAnsi="宋体"/>
          <w:sz w:val="24"/>
        </w:rPr>
        <w:t>《采购需求》</w:t>
      </w:r>
      <w:r>
        <w:rPr>
          <w:rFonts w:hint="eastAsia" w:ascii="宋体" w:hAnsi="宋体"/>
          <w:sz w:val="24"/>
        </w:rPr>
        <w:t>的要求。</w:t>
      </w:r>
    </w:p>
    <w:p>
      <w:pPr>
        <w:numPr>
          <w:ilvl w:val="1"/>
          <w:numId w:val="8"/>
        </w:numPr>
        <w:tabs>
          <w:tab w:val="left" w:pos="1080"/>
          <w:tab w:val="left" w:pos="2014"/>
        </w:tabs>
        <w:snapToGrid w:val="0"/>
        <w:spacing w:line="360" w:lineRule="auto"/>
        <w:ind w:left="1080" w:hanging="720"/>
        <w:rPr>
          <w:rFonts w:ascii="宋体" w:hAnsi="宋体"/>
          <w:sz w:val="24"/>
        </w:rPr>
      </w:pPr>
      <w:r>
        <w:rPr>
          <w:rFonts w:hint="eastAsia" w:ascii="宋体" w:hAnsi="宋体"/>
          <w:sz w:val="24"/>
        </w:rPr>
        <w:t>除非有特殊要求，比选文件不单独提供货物安装使用地的自然环境、气候条件、公用设施等情况，供应商被视为熟悉上述与履行合同有关的一切情况。</w:t>
      </w:r>
    </w:p>
    <w:p>
      <w:pPr>
        <w:numPr>
          <w:ilvl w:val="0"/>
          <w:numId w:val="8"/>
        </w:numPr>
        <w:tabs>
          <w:tab w:val="left" w:pos="1080"/>
          <w:tab w:val="left" w:pos="2014"/>
        </w:tabs>
        <w:snapToGrid w:val="0"/>
        <w:spacing w:line="360" w:lineRule="auto"/>
        <w:ind w:left="357" w:hanging="357"/>
        <w:outlineLvl w:val="1"/>
        <w:rPr>
          <w:rFonts w:ascii="宋体" w:hAnsi="宋体"/>
          <w:sz w:val="24"/>
        </w:rPr>
      </w:pPr>
      <w:r>
        <w:rPr>
          <w:rFonts w:ascii="宋体" w:hAnsi="宋体"/>
          <w:sz w:val="24"/>
        </w:rPr>
        <w:t>对</w:t>
      </w:r>
      <w:r>
        <w:rPr>
          <w:rFonts w:hint="eastAsia" w:ascii="宋体" w:hAnsi="宋体"/>
          <w:sz w:val="24"/>
        </w:rPr>
        <w:t>比选文件</w:t>
      </w:r>
      <w:r>
        <w:rPr>
          <w:rFonts w:ascii="宋体" w:hAnsi="宋体"/>
          <w:sz w:val="24"/>
        </w:rPr>
        <w:t>的澄清或修改</w:t>
      </w:r>
    </w:p>
    <w:p>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采购人或采购代理机构对已发出的</w:t>
      </w:r>
      <w:r>
        <w:rPr>
          <w:rFonts w:hint="eastAsia" w:ascii="宋体" w:hAnsi="宋体"/>
          <w:sz w:val="24"/>
        </w:rPr>
        <w:t>比选文件</w:t>
      </w:r>
      <w:r>
        <w:rPr>
          <w:rFonts w:ascii="宋体" w:hAnsi="宋体"/>
          <w:sz w:val="24"/>
        </w:rPr>
        <w:t>进行必要澄清或者修改的，将在原公告发布媒体上发布更正公告，并以书面形式通知所有获取</w:t>
      </w:r>
      <w:r>
        <w:rPr>
          <w:rFonts w:hint="eastAsia" w:ascii="宋体" w:hAnsi="宋体"/>
          <w:sz w:val="24"/>
        </w:rPr>
        <w:t>比选文件</w:t>
      </w:r>
      <w:r>
        <w:rPr>
          <w:rFonts w:ascii="宋体" w:hAnsi="宋体"/>
          <w:sz w:val="24"/>
        </w:rPr>
        <w:t>的潜在</w:t>
      </w:r>
      <w:r>
        <w:rPr>
          <w:rFonts w:hint="eastAsia" w:ascii="宋体" w:hAnsi="宋体"/>
          <w:sz w:val="24"/>
        </w:rPr>
        <w:t>供应商</w:t>
      </w:r>
      <w:r>
        <w:rPr>
          <w:rFonts w:ascii="宋体" w:hAnsi="宋体"/>
          <w:sz w:val="24"/>
        </w:rPr>
        <w:t>。</w:t>
      </w:r>
    </w:p>
    <w:p>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上述书面通知，按照获取</w:t>
      </w:r>
      <w:r>
        <w:rPr>
          <w:rFonts w:hint="eastAsia" w:ascii="宋体" w:hAnsi="宋体"/>
          <w:sz w:val="24"/>
        </w:rPr>
        <w:t>比选文件</w:t>
      </w:r>
      <w:r>
        <w:rPr>
          <w:rFonts w:ascii="宋体" w:hAnsi="宋体"/>
          <w:sz w:val="24"/>
        </w:rPr>
        <w:t>的潜在</w:t>
      </w:r>
      <w:r>
        <w:rPr>
          <w:rFonts w:hint="eastAsia" w:ascii="宋体" w:hAnsi="宋体"/>
          <w:sz w:val="24"/>
        </w:rPr>
        <w:t>供应商</w:t>
      </w:r>
      <w:r>
        <w:rPr>
          <w:rFonts w:ascii="宋体" w:hAnsi="宋体"/>
          <w:sz w:val="24"/>
        </w:rPr>
        <w:t>提供的联系方式发出，因提供的信息有误导致通知延迟或无法通知的，采购人或采购代理机构不承担责任。</w:t>
      </w:r>
    </w:p>
    <w:p>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澄清或者修改的内容为</w:t>
      </w:r>
      <w:r>
        <w:rPr>
          <w:rFonts w:hint="eastAsia" w:ascii="宋体" w:hAnsi="宋体"/>
          <w:sz w:val="24"/>
        </w:rPr>
        <w:t>比选文件</w:t>
      </w:r>
      <w:r>
        <w:rPr>
          <w:rFonts w:ascii="宋体" w:hAnsi="宋体"/>
          <w:sz w:val="24"/>
        </w:rPr>
        <w:t>的组成部分，并对所有获取</w:t>
      </w:r>
      <w:r>
        <w:rPr>
          <w:rFonts w:hint="eastAsia" w:ascii="宋体" w:hAnsi="宋体"/>
          <w:sz w:val="24"/>
        </w:rPr>
        <w:t>比选文件</w:t>
      </w:r>
      <w:r>
        <w:rPr>
          <w:rFonts w:ascii="宋体" w:hAnsi="宋体"/>
          <w:sz w:val="24"/>
        </w:rPr>
        <w:t>的潜在</w:t>
      </w:r>
      <w:r>
        <w:rPr>
          <w:rFonts w:hint="eastAsia" w:ascii="宋体" w:hAnsi="宋体"/>
          <w:sz w:val="24"/>
        </w:rPr>
        <w:t>供应商</w:t>
      </w:r>
      <w:r>
        <w:rPr>
          <w:rFonts w:ascii="宋体" w:hAnsi="宋体"/>
          <w:sz w:val="24"/>
        </w:rPr>
        <w:t>具有约束力。澄清或者修改的内容可能影响</w:t>
      </w:r>
      <w:r>
        <w:rPr>
          <w:rFonts w:hint="eastAsia" w:ascii="宋体" w:hAnsi="宋体"/>
          <w:sz w:val="24"/>
        </w:rPr>
        <w:t>响应文件</w:t>
      </w:r>
      <w:r>
        <w:rPr>
          <w:rFonts w:ascii="宋体" w:hAnsi="宋体"/>
          <w:sz w:val="24"/>
        </w:rPr>
        <w:t>编制的，将在</w:t>
      </w:r>
      <w:r>
        <w:rPr>
          <w:rFonts w:hint="eastAsia" w:ascii="宋体" w:hAnsi="宋体"/>
          <w:sz w:val="24"/>
        </w:rPr>
        <w:t>响应</w:t>
      </w:r>
      <w:r>
        <w:rPr>
          <w:rFonts w:ascii="宋体" w:hAnsi="宋体"/>
          <w:sz w:val="24"/>
        </w:rPr>
        <w:t>截止时间至少</w:t>
      </w:r>
      <w:r>
        <w:rPr>
          <w:rFonts w:hint="eastAsia" w:ascii="宋体" w:hAnsi="宋体"/>
          <w:sz w:val="24"/>
        </w:rPr>
        <w:t>3</w:t>
      </w:r>
      <w:r>
        <w:rPr>
          <w:rFonts w:ascii="宋体" w:hAnsi="宋体"/>
          <w:sz w:val="24"/>
        </w:rPr>
        <w:t>日前，以书面形式通知所有获取</w:t>
      </w:r>
      <w:r>
        <w:rPr>
          <w:rFonts w:hint="eastAsia" w:ascii="宋体" w:hAnsi="宋体"/>
          <w:sz w:val="24"/>
        </w:rPr>
        <w:t>比选文件</w:t>
      </w:r>
      <w:r>
        <w:rPr>
          <w:rFonts w:ascii="宋体" w:hAnsi="宋体"/>
          <w:sz w:val="24"/>
        </w:rPr>
        <w:t>的潜在</w:t>
      </w:r>
      <w:r>
        <w:rPr>
          <w:rFonts w:hint="eastAsia" w:ascii="宋体" w:hAnsi="宋体"/>
          <w:sz w:val="24"/>
        </w:rPr>
        <w:t>供应商</w:t>
      </w:r>
      <w:r>
        <w:rPr>
          <w:rFonts w:ascii="宋体" w:hAnsi="宋体"/>
          <w:sz w:val="24"/>
        </w:rPr>
        <w:t>；不足</w:t>
      </w:r>
      <w:r>
        <w:rPr>
          <w:rFonts w:hint="eastAsia" w:ascii="宋体" w:hAnsi="宋体"/>
          <w:sz w:val="24"/>
        </w:rPr>
        <w:t>3</w:t>
      </w:r>
      <w:r>
        <w:rPr>
          <w:rFonts w:ascii="宋体" w:hAnsi="宋体"/>
          <w:sz w:val="24"/>
        </w:rPr>
        <w:t>日的，将顺延提交</w:t>
      </w:r>
      <w:r>
        <w:rPr>
          <w:rFonts w:hint="eastAsia" w:ascii="宋体" w:hAnsi="宋体"/>
          <w:sz w:val="24"/>
        </w:rPr>
        <w:t>响应文件</w:t>
      </w:r>
      <w:r>
        <w:rPr>
          <w:rFonts w:ascii="宋体" w:hAnsi="宋体"/>
          <w:sz w:val="24"/>
        </w:rPr>
        <w:t>的截止时间和</w:t>
      </w:r>
      <w:r>
        <w:rPr>
          <w:rFonts w:hint="eastAsia" w:ascii="宋体" w:hAnsi="宋体"/>
          <w:sz w:val="24"/>
        </w:rPr>
        <w:t>开选</w:t>
      </w:r>
      <w:r>
        <w:rPr>
          <w:rFonts w:ascii="宋体" w:hAnsi="宋体"/>
          <w:sz w:val="24"/>
        </w:rPr>
        <w:t>时间。</w:t>
      </w:r>
      <w:bookmarkStart w:id="201" w:name="_Toc516367020"/>
      <w:bookmarkStart w:id="202" w:name="_Toc264969216"/>
      <w:bookmarkStart w:id="203" w:name="_Toc226965716"/>
      <w:bookmarkStart w:id="204" w:name="_Toc150774731"/>
      <w:bookmarkStart w:id="205" w:name="_Toc127151526"/>
      <w:bookmarkStart w:id="206" w:name="_Toc520356150"/>
      <w:bookmarkStart w:id="207" w:name="_Toc142311028"/>
      <w:bookmarkStart w:id="208" w:name="_Toc226337222"/>
      <w:bookmarkStart w:id="209" w:name="_Toc226309770"/>
      <w:bookmarkStart w:id="210" w:name="_Toc151193914"/>
      <w:bookmarkStart w:id="211" w:name="_Toc226965799"/>
      <w:bookmarkStart w:id="212" w:name="_Toc150509277"/>
      <w:bookmarkStart w:id="213" w:name="_Toc151193840"/>
      <w:bookmarkStart w:id="214" w:name="_Toc150774626"/>
      <w:bookmarkStart w:id="215" w:name="_Toc151193624"/>
      <w:bookmarkStart w:id="216" w:name="_Toc305158868"/>
      <w:bookmarkStart w:id="217" w:name="_Toc151193696"/>
      <w:bookmarkStart w:id="218" w:name="_Toc195842891"/>
      <w:bookmarkStart w:id="219" w:name="_Toc151193768"/>
      <w:bookmarkStart w:id="220" w:name="_Toc150480764"/>
      <w:bookmarkStart w:id="221" w:name="_Toc305158794"/>
      <w:bookmarkStart w:id="222" w:name="_Toc151190153"/>
      <w:bookmarkStart w:id="223" w:name="_Toc265228364"/>
    </w:p>
    <w:p>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hint="eastAsia" w:ascii="宋体" w:hAnsi="宋体"/>
          <w:sz w:val="24"/>
        </w:rPr>
        <w:t>供应商在收到澄清或修改的书面通知后，应在一个工作日内向</w:t>
      </w:r>
      <w:r>
        <w:rPr>
          <w:rFonts w:ascii="宋体" w:hAnsi="宋体"/>
          <w:sz w:val="24"/>
        </w:rPr>
        <w:t>采购代理机构</w:t>
      </w:r>
      <w:r>
        <w:rPr>
          <w:rFonts w:hint="eastAsia" w:ascii="宋体" w:hAnsi="宋体"/>
          <w:sz w:val="24"/>
        </w:rPr>
        <w:t>回函确认，否则招标采购单位将视为其已完全知道并接受此澄清或修改的内容。</w:t>
      </w:r>
    </w:p>
    <w:p>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hint="eastAsia" w:ascii="宋体" w:hAnsi="宋体"/>
          <w:sz w:val="24"/>
        </w:rPr>
        <w:t>任何要求对比选文件进行澄清的供应商，均应以书面形式通知</w:t>
      </w:r>
      <w:r>
        <w:rPr>
          <w:rFonts w:ascii="宋体" w:hAnsi="宋体"/>
          <w:sz w:val="24"/>
        </w:rPr>
        <w:t>采购代理机构</w:t>
      </w:r>
      <w:r>
        <w:rPr>
          <w:rFonts w:hint="eastAsia" w:ascii="宋体" w:hAnsi="宋体"/>
          <w:sz w:val="24"/>
        </w:rPr>
        <w:t>。</w:t>
      </w:r>
      <w:r>
        <w:rPr>
          <w:rFonts w:ascii="宋体" w:hAnsi="宋体"/>
          <w:sz w:val="24"/>
        </w:rPr>
        <w:t>采购人或采购代理机构</w:t>
      </w:r>
      <w:r>
        <w:rPr>
          <w:rFonts w:hint="eastAsia" w:ascii="宋体" w:hAnsi="宋体"/>
          <w:sz w:val="24"/>
        </w:rPr>
        <w:t>对供应商在购买比选文件后一个工作日内提交的澄清要求，应在收到澄清要求后三个工作日内以书面形式予以答复。</w:t>
      </w:r>
    </w:p>
    <w:p>
      <w:pPr>
        <w:pStyle w:val="5"/>
        <w:spacing w:before="0" w:line="360" w:lineRule="auto"/>
        <w:rPr>
          <w:rFonts w:ascii="宋体" w:hAnsi="宋体" w:eastAsia="宋体"/>
          <w:sz w:val="28"/>
        </w:rPr>
      </w:pPr>
      <w:r>
        <w:rPr>
          <w:rFonts w:ascii="宋体" w:hAnsi="宋体" w:eastAsia="宋体"/>
          <w:sz w:val="28"/>
        </w:rPr>
        <w:t xml:space="preserve">三  </w:t>
      </w:r>
      <w:bookmarkEnd w:id="201"/>
      <w:r>
        <w:rPr>
          <w:rFonts w:hint="eastAsia" w:ascii="宋体" w:hAnsi="宋体" w:eastAsia="宋体"/>
          <w:sz w:val="28"/>
        </w:rPr>
        <w:t>响应文件</w:t>
      </w:r>
      <w:r>
        <w:rPr>
          <w:rFonts w:ascii="宋体" w:hAnsi="宋体" w:eastAsia="宋体"/>
          <w:sz w:val="28"/>
        </w:rPr>
        <w:t>的编制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numPr>
          <w:ilvl w:val="0"/>
          <w:numId w:val="8"/>
        </w:numPr>
        <w:tabs>
          <w:tab w:val="left" w:pos="360"/>
        </w:tabs>
        <w:snapToGrid w:val="0"/>
        <w:spacing w:line="360" w:lineRule="auto"/>
        <w:ind w:left="357" w:hanging="357"/>
        <w:outlineLvl w:val="1"/>
        <w:rPr>
          <w:rFonts w:ascii="宋体" w:hAnsi="宋体"/>
          <w:sz w:val="24"/>
        </w:rPr>
      </w:pPr>
      <w:bookmarkStart w:id="224" w:name="_Toc520356151"/>
      <w:bookmarkStart w:id="225" w:name="_Toc151193769"/>
      <w:bookmarkStart w:id="226" w:name="_Toc127151728"/>
      <w:bookmarkStart w:id="227" w:name="_Toc150774732"/>
      <w:bookmarkStart w:id="228" w:name="_Toc164351621"/>
      <w:bookmarkStart w:id="229" w:name="_Toc150774627"/>
      <w:bookmarkStart w:id="230" w:name="_Toc151193697"/>
      <w:bookmarkStart w:id="231" w:name="_Toc195842892"/>
      <w:bookmarkStart w:id="232" w:name="_Toc164608796"/>
      <w:bookmarkStart w:id="233" w:name="_Toc226965717"/>
      <w:bookmarkStart w:id="234" w:name="_Toc265228365"/>
      <w:bookmarkStart w:id="235" w:name="_Toc164608641"/>
      <w:bookmarkStart w:id="236" w:name="_Toc149720820"/>
      <w:bookmarkStart w:id="237" w:name="_Toc516367021"/>
      <w:bookmarkStart w:id="238" w:name="_Toc151193915"/>
      <w:bookmarkStart w:id="239" w:name="_Toc151193841"/>
      <w:bookmarkStart w:id="240" w:name="_Toc127161441"/>
      <w:bookmarkStart w:id="241" w:name="_Toc305158869"/>
      <w:bookmarkStart w:id="242" w:name="_Toc150509278"/>
      <w:bookmarkStart w:id="243" w:name="_Toc305158795"/>
      <w:bookmarkStart w:id="244" w:name="_Toc164229222"/>
      <w:bookmarkStart w:id="245" w:name="_Toc142311029"/>
      <w:bookmarkStart w:id="246" w:name="_Toc151193625"/>
      <w:bookmarkStart w:id="247" w:name="_Toc164229368"/>
      <w:bookmarkStart w:id="248" w:name="_Toc226965800"/>
      <w:bookmarkStart w:id="249" w:name="_Toc226337223"/>
      <w:bookmarkStart w:id="250" w:name="_Toc150480765"/>
      <w:bookmarkStart w:id="251" w:name="_Toc226309771"/>
      <w:bookmarkStart w:id="252" w:name="_Toc127151527"/>
      <w:bookmarkStart w:id="253" w:name="_Toc151190154"/>
      <w:bookmarkStart w:id="254" w:name="_Toc264969217"/>
      <w:r>
        <w:rPr>
          <w:rFonts w:hint="eastAsia" w:ascii="宋体" w:hAnsi="宋体"/>
          <w:sz w:val="24"/>
        </w:rPr>
        <w:t>响应</w:t>
      </w:r>
      <w:r>
        <w:rPr>
          <w:rFonts w:ascii="宋体" w:hAnsi="宋体"/>
          <w:sz w:val="24"/>
        </w:rPr>
        <w:t>范围、</w:t>
      </w:r>
      <w:r>
        <w:rPr>
          <w:rFonts w:hint="eastAsia" w:ascii="宋体" w:hAnsi="宋体"/>
          <w:sz w:val="24"/>
        </w:rPr>
        <w:t>响应文件</w:t>
      </w:r>
      <w:r>
        <w:rPr>
          <w:rFonts w:ascii="宋体" w:hAnsi="宋体"/>
          <w:sz w:val="24"/>
        </w:rPr>
        <w:t>中计量单位的使用</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rFonts w:ascii="宋体" w:hAnsi="宋体"/>
          <w:sz w:val="24"/>
        </w:rPr>
        <w:t>及</w:t>
      </w:r>
      <w:r>
        <w:rPr>
          <w:rFonts w:hint="eastAsia" w:ascii="宋体" w:hAnsi="宋体"/>
          <w:sz w:val="24"/>
        </w:rPr>
        <w:t>响应</w:t>
      </w:r>
      <w:r>
        <w:rPr>
          <w:rFonts w:ascii="宋体" w:hAnsi="宋体"/>
          <w:sz w:val="24"/>
        </w:rPr>
        <w:t>语言</w:t>
      </w:r>
    </w:p>
    <w:p>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本项目如划分采购包，</w:t>
      </w:r>
      <w:r>
        <w:rPr>
          <w:rFonts w:hint="eastAsia" w:ascii="宋体" w:hAnsi="宋体"/>
          <w:sz w:val="24"/>
        </w:rPr>
        <w:t>供应商</w:t>
      </w:r>
      <w:r>
        <w:rPr>
          <w:rFonts w:ascii="宋体" w:hAnsi="宋体"/>
          <w:sz w:val="24"/>
        </w:rPr>
        <w:t>可以对本项目的其中一个采购包进行</w:t>
      </w:r>
      <w:r>
        <w:rPr>
          <w:rFonts w:hint="eastAsia" w:ascii="宋体" w:hAnsi="宋体"/>
          <w:sz w:val="24"/>
        </w:rPr>
        <w:t>响应</w:t>
      </w:r>
      <w:r>
        <w:rPr>
          <w:rFonts w:ascii="宋体" w:hAnsi="宋体"/>
          <w:sz w:val="24"/>
        </w:rPr>
        <w:t>，也可同时对多个采购包进行</w:t>
      </w:r>
      <w:r>
        <w:rPr>
          <w:rFonts w:hint="eastAsia" w:ascii="宋体" w:hAnsi="宋体"/>
          <w:sz w:val="24"/>
        </w:rPr>
        <w:t>响应</w:t>
      </w:r>
      <w:r>
        <w:rPr>
          <w:rFonts w:ascii="宋体" w:hAnsi="宋体"/>
          <w:sz w:val="24"/>
        </w:rPr>
        <w:t>。</w:t>
      </w:r>
      <w:r>
        <w:rPr>
          <w:rFonts w:hint="eastAsia" w:ascii="宋体" w:hAnsi="宋体"/>
          <w:sz w:val="24"/>
        </w:rPr>
        <w:t>供应商</w:t>
      </w:r>
      <w:r>
        <w:rPr>
          <w:rFonts w:ascii="宋体" w:hAnsi="宋体"/>
          <w:sz w:val="24"/>
        </w:rPr>
        <w:t>应当对所投采购包对应</w:t>
      </w:r>
      <w:r>
        <w:rPr>
          <w:rFonts w:hint="eastAsia" w:ascii="宋体" w:hAnsi="宋体"/>
          <w:sz w:val="24"/>
        </w:rPr>
        <w:t>第四章《采购需求》</w:t>
      </w:r>
      <w:r>
        <w:rPr>
          <w:rFonts w:ascii="宋体" w:hAnsi="宋体"/>
          <w:sz w:val="24"/>
        </w:rPr>
        <w:t>所列的全部内容进行</w:t>
      </w:r>
      <w:r>
        <w:rPr>
          <w:rFonts w:hint="eastAsia" w:ascii="宋体" w:hAnsi="宋体"/>
          <w:sz w:val="24"/>
        </w:rPr>
        <w:t>响应</w:t>
      </w:r>
      <w:r>
        <w:rPr>
          <w:rFonts w:ascii="宋体" w:hAnsi="宋体"/>
          <w:sz w:val="24"/>
        </w:rPr>
        <w:t>，不得将一个采购包中的内容拆开</w:t>
      </w:r>
      <w:r>
        <w:rPr>
          <w:rFonts w:hint="eastAsia" w:ascii="宋体" w:hAnsi="宋体"/>
          <w:sz w:val="24"/>
        </w:rPr>
        <w:t>响应</w:t>
      </w:r>
      <w:r>
        <w:rPr>
          <w:rFonts w:ascii="宋体" w:hAnsi="宋体"/>
          <w:sz w:val="24"/>
        </w:rPr>
        <w:t>，否则其对该采购包的</w:t>
      </w:r>
      <w:r>
        <w:rPr>
          <w:rFonts w:hint="eastAsia" w:ascii="宋体" w:hAnsi="宋体"/>
          <w:sz w:val="24"/>
        </w:rPr>
        <w:t>响应</w:t>
      </w:r>
      <w:r>
        <w:rPr>
          <w:rFonts w:ascii="宋体" w:hAnsi="宋体"/>
          <w:sz w:val="24"/>
        </w:rPr>
        <w:t>将被认定为</w:t>
      </w:r>
      <w:r>
        <w:rPr>
          <w:rFonts w:ascii="宋体" w:hAnsi="宋体"/>
          <w:b/>
          <w:sz w:val="24"/>
        </w:rPr>
        <w:t>无效</w:t>
      </w:r>
      <w:r>
        <w:rPr>
          <w:rFonts w:hint="eastAsia" w:ascii="宋体" w:hAnsi="宋体"/>
          <w:b/>
          <w:sz w:val="24"/>
        </w:rPr>
        <w:t>响应</w:t>
      </w:r>
      <w:r>
        <w:rPr>
          <w:rFonts w:ascii="宋体" w:hAnsi="宋体"/>
          <w:sz w:val="24"/>
        </w:rPr>
        <w:t>。</w:t>
      </w:r>
    </w:p>
    <w:p>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除</w:t>
      </w:r>
      <w:r>
        <w:rPr>
          <w:rFonts w:hint="eastAsia" w:ascii="宋体" w:hAnsi="宋体"/>
          <w:sz w:val="24"/>
        </w:rPr>
        <w:t>比选文件</w:t>
      </w:r>
      <w:r>
        <w:rPr>
          <w:rFonts w:ascii="宋体" w:hAnsi="宋体"/>
          <w:sz w:val="24"/>
        </w:rPr>
        <w:t>有特殊要求外，本项目</w:t>
      </w:r>
      <w:r>
        <w:rPr>
          <w:rFonts w:hint="eastAsia" w:ascii="宋体" w:hAnsi="宋体"/>
          <w:sz w:val="24"/>
        </w:rPr>
        <w:t>响应</w:t>
      </w:r>
      <w:r>
        <w:rPr>
          <w:rFonts w:ascii="宋体" w:hAnsi="宋体"/>
          <w:sz w:val="24"/>
        </w:rPr>
        <w:t>所使用的计量单位，应采用中华人民共和国法定计量单位。</w:t>
      </w:r>
    </w:p>
    <w:p>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除专用术语外，</w:t>
      </w:r>
      <w:r>
        <w:rPr>
          <w:rFonts w:hint="eastAsia" w:ascii="宋体" w:hAnsi="宋体"/>
          <w:sz w:val="24"/>
        </w:rPr>
        <w:t>响应文件</w:t>
      </w:r>
      <w:r>
        <w:rPr>
          <w:rFonts w:ascii="宋体" w:hAnsi="宋体"/>
          <w:sz w:val="24"/>
        </w:rPr>
        <w:t>及来往函电均应使用中文书写。必要时专用术语应附有中文解释。</w:t>
      </w:r>
      <w:r>
        <w:rPr>
          <w:rFonts w:hint="eastAsia" w:ascii="宋体" w:hAnsi="宋体"/>
          <w:sz w:val="24"/>
        </w:rPr>
        <w:t>供应商</w:t>
      </w:r>
      <w:r>
        <w:rPr>
          <w:rFonts w:ascii="宋体" w:hAnsi="宋体"/>
          <w:sz w:val="24"/>
        </w:rPr>
        <w:t>提交的支持资料和已印制的文献可以用外文，但相应内容应附有中文翻译本，在解释</w:t>
      </w:r>
      <w:r>
        <w:rPr>
          <w:rFonts w:hint="eastAsia" w:ascii="宋体" w:hAnsi="宋体"/>
          <w:sz w:val="24"/>
        </w:rPr>
        <w:t>响应文件</w:t>
      </w:r>
      <w:r>
        <w:rPr>
          <w:rFonts w:ascii="宋体" w:hAnsi="宋体"/>
          <w:sz w:val="24"/>
        </w:rPr>
        <w:t>时以中文翻译本为准。未附中文翻译本或翻译本中文内容明显与外文内容不一致的，其不利后果由</w:t>
      </w:r>
      <w:r>
        <w:rPr>
          <w:rFonts w:hint="eastAsia" w:ascii="宋体" w:hAnsi="宋体"/>
          <w:sz w:val="24"/>
        </w:rPr>
        <w:t>供应商</w:t>
      </w:r>
      <w:r>
        <w:rPr>
          <w:rFonts w:ascii="宋体" w:hAnsi="宋体"/>
          <w:sz w:val="24"/>
        </w:rPr>
        <w:t>自行承担。</w:t>
      </w:r>
    </w:p>
    <w:p>
      <w:pPr>
        <w:numPr>
          <w:ilvl w:val="0"/>
          <w:numId w:val="8"/>
        </w:numPr>
        <w:tabs>
          <w:tab w:val="left" w:pos="360"/>
        </w:tabs>
        <w:snapToGrid w:val="0"/>
        <w:spacing w:line="360" w:lineRule="auto"/>
        <w:ind w:left="357" w:hanging="357"/>
        <w:outlineLvl w:val="1"/>
        <w:rPr>
          <w:rFonts w:ascii="宋体" w:hAnsi="宋体"/>
          <w:sz w:val="24"/>
        </w:rPr>
      </w:pPr>
      <w:bookmarkStart w:id="255" w:name="_Toc164608797"/>
      <w:bookmarkStart w:id="256" w:name="_Toc151193626"/>
      <w:bookmarkStart w:id="257" w:name="_Toc150480766"/>
      <w:bookmarkStart w:id="258" w:name="_Toc127151729"/>
      <w:bookmarkStart w:id="259" w:name="_Toc151190155"/>
      <w:bookmarkStart w:id="260" w:name="_Toc164351622"/>
      <w:bookmarkStart w:id="261" w:name="_Toc226337224"/>
      <w:bookmarkStart w:id="262" w:name="_Toc305158796"/>
      <w:bookmarkStart w:id="263" w:name="_Toc305158870"/>
      <w:bookmarkStart w:id="264" w:name="_Toc151193698"/>
      <w:bookmarkStart w:id="265" w:name="_Toc149720821"/>
      <w:bookmarkStart w:id="266" w:name="_Toc520356152"/>
      <w:bookmarkStart w:id="267" w:name="_Toc127161442"/>
      <w:bookmarkStart w:id="268" w:name="_Toc151193842"/>
      <w:bookmarkStart w:id="269" w:name="_Toc150774628"/>
      <w:bookmarkStart w:id="270" w:name="_Toc151193916"/>
      <w:bookmarkStart w:id="271" w:name="_Toc127151528"/>
      <w:bookmarkStart w:id="272" w:name="_Toc226965718"/>
      <w:bookmarkStart w:id="273" w:name="_Toc195842893"/>
      <w:bookmarkStart w:id="274" w:name="_Toc150774733"/>
      <w:bookmarkStart w:id="275" w:name="_Toc265228366"/>
      <w:bookmarkStart w:id="276" w:name="_Toc150509279"/>
      <w:bookmarkStart w:id="277" w:name="_Toc164229369"/>
      <w:bookmarkStart w:id="278" w:name="_Toc226965801"/>
      <w:bookmarkStart w:id="279" w:name="_Toc164229223"/>
      <w:bookmarkStart w:id="280" w:name="_Toc142311030"/>
      <w:bookmarkStart w:id="281" w:name="_Toc264969218"/>
      <w:bookmarkStart w:id="282" w:name="_Toc151193770"/>
      <w:bookmarkStart w:id="283" w:name="_Toc164608642"/>
      <w:bookmarkStart w:id="284" w:name="_Toc226309772"/>
      <w:r>
        <w:rPr>
          <w:rFonts w:hint="eastAsia" w:ascii="宋体" w:hAnsi="宋体"/>
          <w:sz w:val="24"/>
        </w:rPr>
        <w:t>响应文件</w:t>
      </w:r>
      <w:r>
        <w:rPr>
          <w:rFonts w:ascii="宋体" w:hAnsi="宋体"/>
          <w:sz w:val="24"/>
        </w:rPr>
        <w:t>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numPr>
          <w:ilvl w:val="1"/>
          <w:numId w:val="8"/>
        </w:numPr>
        <w:tabs>
          <w:tab w:val="left" w:pos="1080"/>
          <w:tab w:val="left" w:pos="2014"/>
        </w:tabs>
        <w:snapToGrid w:val="0"/>
        <w:spacing w:line="360" w:lineRule="auto"/>
        <w:ind w:left="1077" w:hanging="720"/>
        <w:rPr>
          <w:rFonts w:ascii="宋体" w:hAnsi="宋体"/>
          <w:sz w:val="24"/>
        </w:rPr>
      </w:pPr>
      <w:bookmarkStart w:id="285" w:name="_Ref467052588"/>
      <w:r>
        <w:rPr>
          <w:rFonts w:hint="eastAsia" w:ascii="宋体" w:hAnsi="宋体"/>
          <w:sz w:val="24"/>
        </w:rPr>
        <w:t>供应商</w:t>
      </w:r>
      <w:r>
        <w:rPr>
          <w:rFonts w:ascii="宋体" w:hAnsi="宋体"/>
          <w:sz w:val="24"/>
        </w:rPr>
        <w:t>应当按照</w:t>
      </w:r>
      <w:r>
        <w:rPr>
          <w:rFonts w:hint="eastAsia" w:ascii="宋体" w:hAnsi="宋体"/>
          <w:sz w:val="24"/>
        </w:rPr>
        <w:t>比选文件</w:t>
      </w:r>
      <w:r>
        <w:rPr>
          <w:rFonts w:ascii="宋体" w:hAnsi="宋体"/>
          <w:sz w:val="24"/>
        </w:rPr>
        <w:t>的要求编制</w:t>
      </w:r>
      <w:r>
        <w:rPr>
          <w:rFonts w:hint="eastAsia" w:ascii="宋体" w:hAnsi="宋体"/>
          <w:sz w:val="24"/>
        </w:rPr>
        <w:t>响应文件</w:t>
      </w:r>
      <w:r>
        <w:rPr>
          <w:rFonts w:ascii="宋体" w:hAnsi="宋体"/>
          <w:sz w:val="24"/>
        </w:rPr>
        <w:t>。</w:t>
      </w:r>
      <w:r>
        <w:rPr>
          <w:rFonts w:hint="eastAsia" w:ascii="宋体" w:hAnsi="宋体"/>
          <w:sz w:val="24"/>
        </w:rPr>
        <w:t>响应文件</w:t>
      </w:r>
      <w:r>
        <w:rPr>
          <w:rFonts w:ascii="宋体" w:hAnsi="宋体"/>
          <w:sz w:val="24"/>
        </w:rPr>
        <w:t>应由《资格证明文件》、《商务技术文件》两部分构成。</w:t>
      </w:r>
      <w:r>
        <w:rPr>
          <w:rFonts w:hint="eastAsia" w:ascii="宋体" w:hAnsi="宋体"/>
          <w:sz w:val="24"/>
        </w:rPr>
        <w:t>响应文件</w:t>
      </w:r>
      <w:r>
        <w:rPr>
          <w:rFonts w:ascii="宋体" w:hAnsi="宋体"/>
          <w:sz w:val="24"/>
        </w:rPr>
        <w:t>的部分格式要求，见第</w:t>
      </w:r>
      <w:r>
        <w:rPr>
          <w:rFonts w:hint="eastAsia" w:ascii="宋体" w:hAnsi="宋体"/>
          <w:sz w:val="24"/>
        </w:rPr>
        <w:t>六</w:t>
      </w:r>
      <w:r>
        <w:rPr>
          <w:rFonts w:ascii="宋体" w:hAnsi="宋体"/>
          <w:sz w:val="24"/>
        </w:rPr>
        <w:t>章《</w:t>
      </w:r>
      <w:r>
        <w:rPr>
          <w:rFonts w:hint="eastAsia" w:ascii="宋体" w:hAnsi="宋体"/>
          <w:sz w:val="24"/>
        </w:rPr>
        <w:t>响应文件</w:t>
      </w:r>
      <w:r>
        <w:rPr>
          <w:rFonts w:ascii="宋体" w:hAnsi="宋体"/>
          <w:sz w:val="24"/>
        </w:rPr>
        <w:t>格式》。</w:t>
      </w:r>
    </w:p>
    <w:p>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kern w:val="0"/>
          <w:sz w:val="24"/>
        </w:rPr>
        <w:t>对于</w:t>
      </w:r>
      <w:r>
        <w:rPr>
          <w:rFonts w:hint="eastAsia" w:ascii="宋体" w:hAnsi="宋体"/>
          <w:kern w:val="0"/>
          <w:sz w:val="24"/>
        </w:rPr>
        <w:t>比选文件成交</w:t>
      </w:r>
      <w:r>
        <w:rPr>
          <w:rFonts w:ascii="宋体" w:hAnsi="宋体"/>
          <w:kern w:val="0"/>
          <w:sz w:val="24"/>
        </w:rPr>
        <w:t>记了“实质性格式”文件的，</w:t>
      </w:r>
      <w:r>
        <w:rPr>
          <w:rFonts w:hint="eastAsia" w:ascii="宋体" w:hAnsi="宋体"/>
          <w:sz w:val="24"/>
        </w:rPr>
        <w:t>供应商</w:t>
      </w:r>
      <w:r>
        <w:rPr>
          <w:rFonts w:ascii="宋体" w:hAnsi="宋体"/>
          <w:sz w:val="24"/>
        </w:rPr>
        <w:t>不得改变格式中给定的文字所表达的含义，不得删减格式中的实质性内容，不得自行添加与格式中给定的文字内容相矛盾的内容，不得对应当填写的空格不填写或不实质性响应，</w:t>
      </w:r>
      <w:r>
        <w:rPr>
          <w:rFonts w:ascii="宋体" w:hAnsi="宋体"/>
          <w:kern w:val="0"/>
          <w:sz w:val="24"/>
        </w:rPr>
        <w:t>否则</w:t>
      </w:r>
      <w:r>
        <w:rPr>
          <w:rFonts w:hint="eastAsia" w:ascii="宋体" w:hAnsi="宋体"/>
          <w:b/>
          <w:kern w:val="0"/>
          <w:sz w:val="24"/>
        </w:rPr>
        <w:t>响应</w:t>
      </w:r>
      <w:r>
        <w:rPr>
          <w:rFonts w:ascii="宋体" w:hAnsi="宋体"/>
          <w:b/>
          <w:kern w:val="0"/>
          <w:sz w:val="24"/>
        </w:rPr>
        <w:t>无效</w:t>
      </w:r>
      <w:r>
        <w:rPr>
          <w:rFonts w:ascii="宋体" w:hAnsi="宋体"/>
          <w:kern w:val="0"/>
          <w:sz w:val="24"/>
        </w:rPr>
        <w:t>。未标记“实质性格式”的文件和</w:t>
      </w:r>
      <w:r>
        <w:rPr>
          <w:rFonts w:hint="eastAsia" w:ascii="宋体" w:hAnsi="宋体"/>
          <w:kern w:val="0"/>
          <w:sz w:val="24"/>
        </w:rPr>
        <w:t>比选文件</w:t>
      </w:r>
      <w:r>
        <w:rPr>
          <w:rFonts w:ascii="宋体" w:hAnsi="宋体"/>
          <w:kern w:val="0"/>
          <w:sz w:val="24"/>
        </w:rPr>
        <w:t>未提供格式的内容，可由</w:t>
      </w:r>
      <w:r>
        <w:rPr>
          <w:rFonts w:hint="eastAsia" w:ascii="宋体" w:hAnsi="宋体"/>
          <w:kern w:val="0"/>
          <w:sz w:val="24"/>
        </w:rPr>
        <w:t>供应商</w:t>
      </w:r>
      <w:r>
        <w:rPr>
          <w:rFonts w:ascii="宋体" w:hAnsi="宋体"/>
          <w:kern w:val="0"/>
          <w:sz w:val="24"/>
        </w:rPr>
        <w:t>自行编写。</w:t>
      </w:r>
    </w:p>
    <w:p>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第</w:t>
      </w:r>
      <w:r>
        <w:rPr>
          <w:rFonts w:hint="eastAsia" w:ascii="宋体" w:hAnsi="宋体"/>
          <w:sz w:val="24"/>
        </w:rPr>
        <w:t>三</w:t>
      </w:r>
      <w:r>
        <w:rPr>
          <w:rFonts w:ascii="宋体" w:hAnsi="宋体"/>
          <w:sz w:val="24"/>
        </w:rPr>
        <w:t>章《评</w:t>
      </w:r>
      <w:r>
        <w:rPr>
          <w:rFonts w:hint="eastAsia" w:ascii="宋体" w:hAnsi="宋体"/>
          <w:sz w:val="24"/>
        </w:rPr>
        <w:t>审</w:t>
      </w:r>
      <w:r>
        <w:rPr>
          <w:rFonts w:ascii="宋体" w:hAnsi="宋体"/>
          <w:sz w:val="24"/>
        </w:rPr>
        <w:t>方法</w:t>
      </w:r>
      <w:r>
        <w:rPr>
          <w:rFonts w:hint="eastAsia" w:ascii="宋体" w:hAnsi="宋体"/>
          <w:sz w:val="24"/>
        </w:rPr>
        <w:t>和</w:t>
      </w:r>
      <w:r>
        <w:rPr>
          <w:rFonts w:ascii="宋体" w:hAnsi="宋体"/>
          <w:sz w:val="24"/>
        </w:rPr>
        <w:t>评</w:t>
      </w:r>
      <w:r>
        <w:rPr>
          <w:rFonts w:hint="eastAsia" w:ascii="宋体" w:hAnsi="宋体"/>
          <w:sz w:val="24"/>
        </w:rPr>
        <w:t>审</w:t>
      </w:r>
      <w:r>
        <w:rPr>
          <w:rFonts w:ascii="宋体" w:hAnsi="宋体"/>
          <w:sz w:val="24"/>
        </w:rPr>
        <w:t>程序》中涉及的证明文件。</w:t>
      </w:r>
    </w:p>
    <w:p>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对照</w:t>
      </w:r>
      <w:r>
        <w:rPr>
          <w:rFonts w:hint="eastAsia" w:ascii="宋体" w:hAnsi="宋体"/>
          <w:sz w:val="24"/>
        </w:rPr>
        <w:t>第四章《采购需求》</w:t>
      </w:r>
      <w:r>
        <w:rPr>
          <w:rFonts w:ascii="宋体" w:hAnsi="宋体"/>
          <w:sz w:val="24"/>
        </w:rPr>
        <w:t>，说明所提供货物和服务已对</w:t>
      </w:r>
      <w:r>
        <w:rPr>
          <w:rFonts w:hint="eastAsia" w:ascii="宋体" w:hAnsi="宋体"/>
          <w:sz w:val="24"/>
        </w:rPr>
        <w:t>第四章《采购需求》</w:t>
      </w:r>
      <w:r>
        <w:rPr>
          <w:rFonts w:ascii="宋体" w:hAnsi="宋体"/>
          <w:sz w:val="24"/>
        </w:rPr>
        <w:t>做出了响应，或申明与</w:t>
      </w:r>
      <w:r>
        <w:rPr>
          <w:rFonts w:hint="eastAsia" w:ascii="宋体" w:hAnsi="宋体"/>
          <w:sz w:val="24"/>
        </w:rPr>
        <w:t>第四章《采购需求》</w:t>
      </w:r>
      <w:r>
        <w:rPr>
          <w:rFonts w:ascii="宋体" w:hAnsi="宋体"/>
          <w:sz w:val="24"/>
        </w:rPr>
        <w:t>的偏差和例外。如</w:t>
      </w:r>
      <w:r>
        <w:rPr>
          <w:rFonts w:hint="eastAsia" w:ascii="宋体" w:hAnsi="宋体"/>
          <w:sz w:val="24"/>
        </w:rPr>
        <w:t>第四章《采购需求》</w:t>
      </w:r>
      <w:r>
        <w:rPr>
          <w:rFonts w:ascii="宋体" w:hAnsi="宋体"/>
          <w:sz w:val="24"/>
        </w:rPr>
        <w:t>中要求提供证明文件的，</w:t>
      </w:r>
      <w:r>
        <w:rPr>
          <w:rFonts w:hint="eastAsia" w:ascii="宋体" w:hAnsi="宋体"/>
          <w:sz w:val="24"/>
        </w:rPr>
        <w:t>供应商</w:t>
      </w:r>
      <w:r>
        <w:rPr>
          <w:rFonts w:ascii="宋体" w:hAnsi="宋体"/>
          <w:sz w:val="24"/>
        </w:rPr>
        <w:t>应当按具体要求提供证明文件。</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供应商</w:t>
      </w:r>
      <w:r>
        <w:rPr>
          <w:rFonts w:ascii="宋体" w:hAnsi="宋体"/>
          <w:sz w:val="24"/>
        </w:rPr>
        <w:t>认为应附的其他材料。</w:t>
      </w:r>
      <w:bookmarkEnd w:id="285"/>
      <w:r>
        <w:rPr>
          <w:rFonts w:hint="eastAsia" w:ascii="宋体" w:hAnsi="宋体"/>
          <w:sz w:val="24"/>
        </w:rPr>
        <w:t>供应商应根据招标项目的特点及要求，提供相应的技术方案、实施方案、技术支持与售后服务方案、培训计划和比选文件中要求供应商响应的其他技术文件等。</w:t>
      </w:r>
    </w:p>
    <w:p>
      <w:pPr>
        <w:numPr>
          <w:ilvl w:val="0"/>
          <w:numId w:val="8"/>
        </w:numPr>
        <w:tabs>
          <w:tab w:val="left" w:pos="360"/>
        </w:tabs>
        <w:snapToGrid w:val="0"/>
        <w:spacing w:line="360" w:lineRule="auto"/>
        <w:ind w:left="357" w:hanging="357"/>
        <w:outlineLvl w:val="1"/>
        <w:rPr>
          <w:rFonts w:ascii="宋体" w:hAnsi="宋体"/>
          <w:sz w:val="24"/>
        </w:rPr>
      </w:pPr>
      <w:bookmarkStart w:id="286" w:name="_Toc151193918"/>
      <w:bookmarkStart w:id="287" w:name="_Toc151193844"/>
      <w:bookmarkStart w:id="288" w:name="_Toc151193700"/>
      <w:bookmarkStart w:id="289" w:name="_Toc164351624"/>
      <w:bookmarkStart w:id="290" w:name="_Toc127151530"/>
      <w:bookmarkStart w:id="291" w:name="_Toc164608644"/>
      <w:bookmarkStart w:id="292" w:name="_Toc150774630"/>
      <w:bookmarkStart w:id="293" w:name="_Toc151190157"/>
      <w:bookmarkStart w:id="294" w:name="_Toc164608799"/>
      <w:bookmarkStart w:id="295" w:name="_Toc164229225"/>
      <w:bookmarkStart w:id="296" w:name="_Toc127151731"/>
      <w:bookmarkStart w:id="297" w:name="_Toc164229371"/>
      <w:bookmarkStart w:id="298" w:name="_Toc151193772"/>
      <w:bookmarkStart w:id="299" w:name="_Toc150480768"/>
      <w:bookmarkStart w:id="300" w:name="_Toc520356155"/>
      <w:bookmarkStart w:id="301" w:name="_Toc195842895"/>
      <w:bookmarkStart w:id="302" w:name="_Toc150509281"/>
      <w:bookmarkStart w:id="303" w:name="_Toc142311032"/>
      <w:bookmarkStart w:id="304" w:name="_Toc151193628"/>
      <w:bookmarkStart w:id="305" w:name="_Toc149720823"/>
      <w:bookmarkStart w:id="306" w:name="_Toc127161444"/>
      <w:bookmarkStart w:id="307" w:name="_Toc150774735"/>
      <w:r>
        <w:rPr>
          <w:rFonts w:hint="eastAsia" w:ascii="宋体" w:hAnsi="宋体"/>
          <w:sz w:val="24"/>
        </w:rPr>
        <w:t>响应</w:t>
      </w:r>
      <w:r>
        <w:rPr>
          <w:rFonts w:ascii="宋体" w:hAnsi="宋体"/>
          <w:sz w:val="24"/>
        </w:rPr>
        <w:t>报价</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pPr>
        <w:numPr>
          <w:ilvl w:val="1"/>
          <w:numId w:val="8"/>
        </w:numPr>
        <w:tabs>
          <w:tab w:val="left" w:pos="1080"/>
          <w:tab w:val="left" w:pos="2014"/>
        </w:tabs>
        <w:snapToGrid w:val="0"/>
        <w:spacing w:line="360" w:lineRule="auto"/>
        <w:ind w:left="1077" w:hanging="720"/>
        <w:rPr>
          <w:sz w:val="24"/>
        </w:rPr>
      </w:pPr>
      <w:r>
        <w:rPr>
          <w:sz w:val="24"/>
        </w:rPr>
        <w:t>所有</w:t>
      </w:r>
      <w:r>
        <w:rPr>
          <w:rFonts w:hint="eastAsia"/>
          <w:sz w:val="24"/>
        </w:rPr>
        <w:t>响应</w:t>
      </w:r>
      <w:r>
        <w:rPr>
          <w:sz w:val="24"/>
        </w:rPr>
        <w:t>均以人民币报价。</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供应商</w:t>
      </w:r>
      <w:r>
        <w:rPr>
          <w:rFonts w:ascii="宋体" w:hAnsi="宋体"/>
          <w:sz w:val="24"/>
        </w:rPr>
        <w:t>的报价应包括为完成本项目所发生的一切费用和税费，招标人将不再支付报价以外的任何费用。</w:t>
      </w:r>
      <w:r>
        <w:rPr>
          <w:rFonts w:hint="eastAsia" w:ascii="宋体" w:hAnsi="宋体"/>
          <w:sz w:val="24"/>
        </w:rPr>
        <w:t>供应商的报价应包括但不限于下列内容，《供应商须知资料表》中有特殊规定的，从其规定。</w:t>
      </w:r>
    </w:p>
    <w:p>
      <w:pPr>
        <w:numPr>
          <w:ilvl w:val="2"/>
          <w:numId w:val="8"/>
        </w:numPr>
        <w:snapToGrid w:val="0"/>
        <w:spacing w:line="360" w:lineRule="auto"/>
        <w:rPr>
          <w:rFonts w:ascii="宋体" w:hAnsi="宋体"/>
          <w:sz w:val="24"/>
        </w:rPr>
      </w:pPr>
      <w:r>
        <w:rPr>
          <w:rFonts w:hint="eastAsia" w:ascii="宋体" w:hAnsi="宋体"/>
          <w:sz w:val="24"/>
        </w:rPr>
        <w:t>响应</w:t>
      </w:r>
      <w:r>
        <w:rPr>
          <w:rFonts w:ascii="宋体" w:hAnsi="宋体"/>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w:t>
      </w:r>
      <w:r>
        <w:rPr>
          <w:rFonts w:hint="eastAsia" w:ascii="宋体" w:hAnsi="宋体"/>
          <w:sz w:val="24"/>
        </w:rPr>
        <w:t>比选文件</w:t>
      </w:r>
      <w:r>
        <w:rPr>
          <w:rFonts w:ascii="宋体" w:hAnsi="宋体"/>
          <w:sz w:val="24"/>
        </w:rPr>
        <w:t>要求完成本项目的全部相关服务费用；</w:t>
      </w:r>
    </w:p>
    <w:p>
      <w:pPr>
        <w:numPr>
          <w:ilvl w:val="2"/>
          <w:numId w:val="8"/>
        </w:numPr>
        <w:snapToGrid w:val="0"/>
        <w:spacing w:line="360" w:lineRule="auto"/>
        <w:rPr>
          <w:rFonts w:ascii="宋体" w:hAnsi="宋体"/>
          <w:sz w:val="24"/>
        </w:rPr>
      </w:pPr>
      <w:r>
        <w:rPr>
          <w:rFonts w:ascii="宋体" w:hAnsi="宋体"/>
          <w:sz w:val="24"/>
        </w:rPr>
        <w:t>按照</w:t>
      </w:r>
      <w:r>
        <w:rPr>
          <w:rFonts w:hint="eastAsia" w:ascii="宋体" w:hAnsi="宋体"/>
          <w:sz w:val="24"/>
        </w:rPr>
        <w:t>比选文件</w:t>
      </w:r>
      <w:r>
        <w:rPr>
          <w:rFonts w:ascii="宋体" w:hAnsi="宋体"/>
          <w:sz w:val="24"/>
        </w:rPr>
        <w:t xml:space="preserve">要求完成本项目的全部相关服务费用。 </w:t>
      </w:r>
    </w:p>
    <w:p>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采购人不得向供应商索要或者接受其给予的赠品、回扣或者与采购无关的其他商品、服务。</w:t>
      </w:r>
    </w:p>
    <w:p>
      <w:pPr>
        <w:numPr>
          <w:ilvl w:val="1"/>
          <w:numId w:val="8"/>
        </w:numPr>
        <w:tabs>
          <w:tab w:val="left" w:pos="1080"/>
          <w:tab w:val="left" w:pos="2014"/>
        </w:tabs>
        <w:snapToGrid w:val="0"/>
        <w:spacing w:line="360" w:lineRule="auto"/>
        <w:ind w:left="1080" w:hanging="720"/>
        <w:rPr>
          <w:rFonts w:ascii="宋体" w:hAnsi="宋体"/>
          <w:sz w:val="24"/>
        </w:rPr>
      </w:pPr>
      <w:r>
        <w:rPr>
          <w:rFonts w:hint="eastAsia" w:ascii="宋体" w:hAnsi="宋体"/>
          <w:sz w:val="24"/>
        </w:rPr>
        <w:t>供应商</w:t>
      </w:r>
      <w:r>
        <w:rPr>
          <w:rFonts w:ascii="宋体" w:hAnsi="宋体"/>
          <w:sz w:val="24"/>
        </w:rPr>
        <w:t>不能提供任何有选择性或可调整的报价，否则其</w:t>
      </w:r>
      <w:r>
        <w:rPr>
          <w:rFonts w:hint="eastAsia" w:ascii="宋体" w:hAnsi="宋体"/>
          <w:b/>
          <w:sz w:val="24"/>
        </w:rPr>
        <w:t>响应</w:t>
      </w:r>
      <w:r>
        <w:rPr>
          <w:rFonts w:ascii="宋体" w:hAnsi="宋体"/>
          <w:b/>
          <w:sz w:val="24"/>
        </w:rPr>
        <w:t>无效</w:t>
      </w:r>
      <w:r>
        <w:rPr>
          <w:rFonts w:ascii="宋体" w:hAnsi="宋体"/>
          <w:sz w:val="24"/>
        </w:rPr>
        <w:t>。</w:t>
      </w:r>
    </w:p>
    <w:p>
      <w:pPr>
        <w:numPr>
          <w:ilvl w:val="1"/>
          <w:numId w:val="8"/>
        </w:numPr>
        <w:tabs>
          <w:tab w:val="left" w:pos="1080"/>
          <w:tab w:val="left" w:pos="2014"/>
        </w:tabs>
        <w:snapToGrid w:val="0"/>
        <w:spacing w:line="360" w:lineRule="auto"/>
        <w:ind w:left="1080" w:hanging="720"/>
        <w:rPr>
          <w:rFonts w:ascii="宋体" w:hAnsi="宋体"/>
          <w:sz w:val="24"/>
        </w:rPr>
      </w:pPr>
      <w:r>
        <w:rPr>
          <w:rFonts w:hint="eastAsia" w:ascii="宋体" w:hAnsi="宋体"/>
          <w:sz w:val="24"/>
        </w:rPr>
        <w:t>供应商</w:t>
      </w:r>
      <w:r>
        <w:rPr>
          <w:rFonts w:ascii="宋体" w:hAnsi="宋体"/>
          <w:sz w:val="24"/>
        </w:rPr>
        <w:t>应在“</w:t>
      </w:r>
      <w:r>
        <w:rPr>
          <w:rFonts w:hint="eastAsia" w:ascii="宋体" w:hAnsi="宋体"/>
          <w:sz w:val="24"/>
        </w:rPr>
        <w:t>响应</w:t>
      </w:r>
      <w:r>
        <w:rPr>
          <w:rFonts w:ascii="宋体" w:hAnsi="宋体"/>
          <w:sz w:val="24"/>
        </w:rPr>
        <w:t>分项报价表”上标明</w:t>
      </w:r>
      <w:r>
        <w:rPr>
          <w:rFonts w:hint="eastAsia" w:ascii="宋体" w:hAnsi="宋体"/>
          <w:sz w:val="24"/>
        </w:rPr>
        <w:t>所投货物/</w:t>
      </w:r>
      <w:r>
        <w:rPr>
          <w:rFonts w:ascii="宋体" w:hAnsi="宋体"/>
          <w:sz w:val="24"/>
        </w:rPr>
        <w:t>服务的单价和总价，</w:t>
      </w:r>
      <w:r>
        <w:rPr>
          <w:rFonts w:hint="eastAsia" w:ascii="宋体" w:hAnsi="宋体"/>
          <w:sz w:val="24"/>
        </w:rPr>
        <w:t>供应商所报的各分项响应单价在合同履行过程中是固定不变的，不得以任何理由予以变更，否则其</w:t>
      </w:r>
      <w:r>
        <w:rPr>
          <w:rFonts w:hint="eastAsia" w:ascii="宋体" w:hAnsi="宋体"/>
          <w:b/>
          <w:bCs/>
          <w:sz w:val="24"/>
        </w:rPr>
        <w:t>响应无效</w:t>
      </w:r>
      <w:r>
        <w:rPr>
          <w:rFonts w:hint="eastAsia" w:ascii="宋体" w:hAnsi="宋体"/>
          <w:sz w:val="24"/>
        </w:rPr>
        <w:t>。</w:t>
      </w:r>
    </w:p>
    <w:p>
      <w:pPr>
        <w:numPr>
          <w:ilvl w:val="1"/>
          <w:numId w:val="8"/>
        </w:numPr>
        <w:tabs>
          <w:tab w:val="left" w:pos="1080"/>
          <w:tab w:val="left" w:pos="2014"/>
        </w:tabs>
        <w:snapToGrid w:val="0"/>
        <w:spacing w:line="360" w:lineRule="auto"/>
        <w:ind w:left="1080" w:hanging="720"/>
        <w:rPr>
          <w:rFonts w:ascii="宋体" w:hAnsi="宋体"/>
          <w:sz w:val="24"/>
        </w:rPr>
      </w:pPr>
      <w:r>
        <w:rPr>
          <w:rFonts w:hint="eastAsia" w:ascii="宋体" w:hAnsi="宋体"/>
          <w:sz w:val="24"/>
        </w:rPr>
        <w:t>响应报价中，如响应内容超出比选文件要求，该部分内容在评标时将不予以核减。</w:t>
      </w:r>
    </w:p>
    <w:p>
      <w:pPr>
        <w:numPr>
          <w:ilvl w:val="1"/>
          <w:numId w:val="8"/>
        </w:numPr>
        <w:tabs>
          <w:tab w:val="left" w:pos="1080"/>
          <w:tab w:val="left" w:pos="2014"/>
        </w:tabs>
        <w:snapToGrid w:val="0"/>
        <w:spacing w:line="360" w:lineRule="auto"/>
        <w:ind w:left="1080" w:hanging="720"/>
        <w:rPr>
          <w:rFonts w:ascii="宋体" w:hAnsi="宋体"/>
          <w:sz w:val="24"/>
        </w:rPr>
      </w:pPr>
      <w:r>
        <w:rPr>
          <w:rFonts w:hint="eastAsia" w:ascii="宋体" w:hAnsi="宋体"/>
          <w:sz w:val="24"/>
        </w:rPr>
        <w:t>最低报价不是授予合同的唯一保证。</w:t>
      </w:r>
    </w:p>
    <w:p>
      <w:pPr>
        <w:numPr>
          <w:ilvl w:val="0"/>
          <w:numId w:val="8"/>
        </w:numPr>
        <w:tabs>
          <w:tab w:val="left" w:pos="360"/>
        </w:tabs>
        <w:snapToGrid w:val="0"/>
        <w:spacing w:line="360" w:lineRule="auto"/>
        <w:ind w:left="357" w:hanging="357"/>
        <w:outlineLvl w:val="1"/>
        <w:rPr>
          <w:rFonts w:ascii="宋体" w:hAnsi="宋体"/>
          <w:sz w:val="24"/>
        </w:rPr>
      </w:pPr>
      <w:r>
        <w:rPr>
          <w:rFonts w:hint="eastAsia" w:ascii="宋体" w:hAnsi="宋体"/>
          <w:sz w:val="24"/>
        </w:rPr>
        <w:t>报价保证金</w:t>
      </w:r>
    </w:p>
    <w:p>
      <w:pPr>
        <w:numPr>
          <w:ilvl w:val="1"/>
          <w:numId w:val="8"/>
        </w:numPr>
        <w:tabs>
          <w:tab w:val="left" w:pos="1080"/>
          <w:tab w:val="left" w:pos="2014"/>
        </w:tabs>
        <w:snapToGrid w:val="0"/>
        <w:spacing w:line="360" w:lineRule="auto"/>
        <w:ind w:left="1077" w:hanging="720"/>
        <w:rPr>
          <w:rFonts w:ascii="宋体" w:hAnsi="宋体"/>
          <w:sz w:val="24"/>
        </w:rPr>
      </w:pPr>
      <w:bookmarkStart w:id="308" w:name="_Ref467306302"/>
      <w:r>
        <w:rPr>
          <w:rFonts w:hint="eastAsia" w:ascii="宋体" w:hAnsi="宋体"/>
          <w:sz w:val="24"/>
        </w:rPr>
        <w:t>供应商</w:t>
      </w:r>
      <w:r>
        <w:rPr>
          <w:rFonts w:ascii="宋体" w:hAnsi="宋体"/>
          <w:sz w:val="24"/>
        </w:rPr>
        <w:t>应按《</w:t>
      </w:r>
      <w:r>
        <w:rPr>
          <w:rFonts w:hint="eastAsia" w:ascii="宋体" w:hAnsi="宋体"/>
          <w:sz w:val="24"/>
        </w:rPr>
        <w:t>供应商</w:t>
      </w:r>
      <w:r>
        <w:rPr>
          <w:rFonts w:ascii="宋体" w:hAnsi="宋体"/>
          <w:sz w:val="24"/>
        </w:rPr>
        <w:t>须知资料表》中规定的金额及要求交纳</w:t>
      </w:r>
      <w:bookmarkEnd w:id="308"/>
      <w:r>
        <w:rPr>
          <w:rFonts w:hint="eastAsia" w:ascii="宋体" w:hAnsi="宋体"/>
          <w:sz w:val="24"/>
        </w:rPr>
        <w:t>报价保证金</w:t>
      </w:r>
      <w:r>
        <w:rPr>
          <w:rFonts w:ascii="宋体" w:hAnsi="宋体"/>
          <w:sz w:val="24"/>
        </w:rPr>
        <w:t>，并作为其</w:t>
      </w:r>
      <w:r>
        <w:rPr>
          <w:rFonts w:hint="eastAsia" w:ascii="宋体" w:hAnsi="宋体"/>
          <w:sz w:val="24"/>
        </w:rPr>
        <w:t>响应</w:t>
      </w:r>
      <w:r>
        <w:rPr>
          <w:rFonts w:ascii="宋体" w:hAnsi="宋体"/>
          <w:sz w:val="24"/>
        </w:rPr>
        <w:t>的一部分。</w:t>
      </w:r>
    </w:p>
    <w:p>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交纳</w:t>
      </w:r>
      <w:r>
        <w:rPr>
          <w:rFonts w:hint="eastAsia" w:ascii="宋体" w:hAnsi="宋体"/>
          <w:sz w:val="24"/>
        </w:rPr>
        <w:t>报价保证金</w:t>
      </w:r>
      <w:r>
        <w:rPr>
          <w:rFonts w:ascii="宋体" w:hAnsi="宋体"/>
          <w:sz w:val="24"/>
        </w:rPr>
        <w:t>可采用的形式：政府采购法律法规接受的支票、汇票、本票、网上银行支付或者金融机构、担保机构出具的保函等非现金形式。</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报价保证金</w:t>
      </w:r>
      <w:r>
        <w:rPr>
          <w:rFonts w:ascii="宋体" w:hAnsi="宋体"/>
          <w:sz w:val="24"/>
        </w:rPr>
        <w:t>到账（保函提交）截止时间同</w:t>
      </w:r>
      <w:r>
        <w:rPr>
          <w:rFonts w:hint="eastAsia" w:ascii="宋体" w:hAnsi="宋体"/>
          <w:sz w:val="24"/>
        </w:rPr>
        <w:t>响应</w:t>
      </w:r>
      <w:r>
        <w:rPr>
          <w:rFonts w:ascii="宋体" w:hAnsi="宋体"/>
          <w:sz w:val="24"/>
        </w:rPr>
        <w:t>截止时间。以支票、汇票、本票、网上银行支付等形式提交</w:t>
      </w:r>
      <w:r>
        <w:rPr>
          <w:rFonts w:hint="eastAsia" w:ascii="宋体" w:hAnsi="宋体"/>
          <w:sz w:val="24"/>
        </w:rPr>
        <w:t>报价保证金</w:t>
      </w:r>
      <w:r>
        <w:rPr>
          <w:rFonts w:ascii="宋体" w:hAnsi="宋体"/>
          <w:sz w:val="24"/>
        </w:rPr>
        <w:t>的，应在</w:t>
      </w:r>
      <w:r>
        <w:rPr>
          <w:rFonts w:hint="eastAsia" w:ascii="宋体" w:hAnsi="宋体"/>
          <w:sz w:val="24"/>
        </w:rPr>
        <w:t>响应</w:t>
      </w:r>
      <w:r>
        <w:rPr>
          <w:rFonts w:ascii="宋体" w:hAnsi="宋体"/>
          <w:sz w:val="24"/>
        </w:rPr>
        <w:t>截止时间前</w:t>
      </w:r>
      <w:r>
        <w:rPr>
          <w:rFonts w:hint="eastAsia" w:ascii="宋体" w:hAnsi="宋体"/>
          <w:sz w:val="24"/>
        </w:rPr>
        <w:t>到账</w:t>
      </w:r>
      <w:r>
        <w:rPr>
          <w:rFonts w:ascii="宋体" w:hAnsi="宋体"/>
          <w:sz w:val="24"/>
        </w:rPr>
        <w:t>；</w:t>
      </w:r>
      <w:r>
        <w:rPr>
          <w:rFonts w:hint="eastAsia" w:ascii="宋体" w:hAnsi="宋体"/>
          <w:sz w:val="24"/>
        </w:rPr>
        <w:t>以</w:t>
      </w:r>
      <w:r>
        <w:rPr>
          <w:rFonts w:ascii="宋体" w:hAnsi="宋体"/>
          <w:sz w:val="24"/>
        </w:rPr>
        <w:t>金融机构、担保机构出具的保函等形式提交</w:t>
      </w:r>
      <w:r>
        <w:rPr>
          <w:rFonts w:hint="eastAsia" w:ascii="宋体" w:hAnsi="宋体"/>
          <w:sz w:val="24"/>
        </w:rPr>
        <w:t>报价保证金</w:t>
      </w:r>
      <w:r>
        <w:rPr>
          <w:rFonts w:ascii="宋体" w:hAnsi="宋体"/>
          <w:sz w:val="24"/>
        </w:rPr>
        <w:t>的，应在</w:t>
      </w:r>
      <w:r>
        <w:rPr>
          <w:rFonts w:hint="eastAsia" w:ascii="宋体" w:hAnsi="宋体"/>
          <w:sz w:val="24"/>
        </w:rPr>
        <w:t>响应</w:t>
      </w:r>
      <w:r>
        <w:rPr>
          <w:rFonts w:ascii="宋体" w:hAnsi="宋体"/>
          <w:sz w:val="24"/>
        </w:rPr>
        <w:t>截止时间前将原件提交至</w:t>
      </w:r>
      <w:r>
        <w:rPr>
          <w:rFonts w:hint="eastAsia" w:ascii="宋体" w:hAnsi="宋体"/>
          <w:sz w:val="24"/>
        </w:rPr>
        <w:t>采购代理机构。由于到账时间晚于响应截止时间的，或者票据错误、印鉴不清等原因导致不能到账的，其</w:t>
      </w:r>
      <w:r>
        <w:rPr>
          <w:rFonts w:hint="eastAsia" w:ascii="宋体" w:hAnsi="宋体"/>
          <w:b/>
          <w:sz w:val="24"/>
        </w:rPr>
        <w:t>响应无效</w:t>
      </w:r>
      <w:r>
        <w:rPr>
          <w:rFonts w:hint="eastAsia" w:ascii="宋体" w:hAnsi="宋体"/>
          <w:sz w:val="24"/>
        </w:rPr>
        <w:t>。供应商同时对多个采购包进行响应时，报价保证金可合并提供，但应注明响应的各采购包及报价保证金金额。报价保证金总额不足且无法判定是哪一个或多个采购包，涉及的所有采购包将均被视为</w:t>
      </w:r>
      <w:r>
        <w:rPr>
          <w:rFonts w:hint="eastAsia" w:ascii="宋体" w:hAnsi="宋体"/>
          <w:b/>
          <w:bCs/>
          <w:sz w:val="24"/>
        </w:rPr>
        <w:t>无效响应</w:t>
      </w:r>
      <w:r>
        <w:rPr>
          <w:rFonts w:hint="eastAsia" w:ascii="宋体" w:hAnsi="宋体"/>
          <w:sz w:val="24"/>
        </w:rPr>
        <w:t>。</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报价保证金</w:t>
      </w:r>
      <w:r>
        <w:rPr>
          <w:rFonts w:ascii="宋体" w:hAnsi="宋体"/>
          <w:sz w:val="24"/>
        </w:rPr>
        <w:t>（保函）有效期同</w:t>
      </w:r>
      <w:r>
        <w:rPr>
          <w:rFonts w:hint="eastAsia" w:ascii="宋体" w:hAnsi="宋体"/>
          <w:sz w:val="24"/>
        </w:rPr>
        <w:t>报价有效期</w:t>
      </w:r>
      <w:r>
        <w:rPr>
          <w:rFonts w:ascii="宋体" w:hAnsi="宋体"/>
          <w:sz w:val="24"/>
        </w:rPr>
        <w:t>。</w:t>
      </w:r>
    </w:p>
    <w:p>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联合体</w:t>
      </w:r>
      <w:r>
        <w:rPr>
          <w:rFonts w:hint="eastAsia" w:ascii="宋体" w:hAnsi="宋体"/>
          <w:sz w:val="24"/>
        </w:rPr>
        <w:t>响应</w:t>
      </w:r>
      <w:r>
        <w:rPr>
          <w:rFonts w:ascii="宋体" w:hAnsi="宋体"/>
          <w:sz w:val="24"/>
        </w:rPr>
        <w:t>的，可以由联合体中的一方或者共同提交</w:t>
      </w:r>
      <w:r>
        <w:rPr>
          <w:rFonts w:hint="eastAsia" w:ascii="宋体" w:hAnsi="宋体"/>
          <w:sz w:val="24"/>
        </w:rPr>
        <w:t>报价保证金</w:t>
      </w:r>
      <w:r>
        <w:rPr>
          <w:rFonts w:ascii="宋体" w:hAnsi="宋体"/>
          <w:sz w:val="24"/>
        </w:rPr>
        <w:t>，以一方名义提交</w:t>
      </w:r>
      <w:r>
        <w:rPr>
          <w:rFonts w:hint="eastAsia" w:ascii="宋体" w:hAnsi="宋体"/>
          <w:sz w:val="24"/>
        </w:rPr>
        <w:t>报价保证金</w:t>
      </w:r>
      <w:r>
        <w:rPr>
          <w:rFonts w:ascii="宋体" w:hAnsi="宋体"/>
          <w:sz w:val="24"/>
        </w:rPr>
        <w:t>的，对联合体各方均具有约束力。</w:t>
      </w:r>
    </w:p>
    <w:p>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采购人、采购代理机构将</w:t>
      </w:r>
      <w:r>
        <w:rPr>
          <w:rFonts w:hint="eastAsia" w:ascii="宋体" w:hAnsi="宋体"/>
          <w:sz w:val="24"/>
        </w:rPr>
        <w:t>按下列时间</w:t>
      </w:r>
      <w:r>
        <w:rPr>
          <w:rFonts w:ascii="宋体" w:hAnsi="宋体"/>
          <w:sz w:val="24"/>
        </w:rPr>
        <w:t>及时退还</w:t>
      </w:r>
      <w:r>
        <w:rPr>
          <w:rFonts w:hint="eastAsia" w:ascii="宋体" w:hAnsi="宋体"/>
          <w:sz w:val="24"/>
        </w:rPr>
        <w:t>供应商</w:t>
      </w:r>
      <w:r>
        <w:rPr>
          <w:rFonts w:ascii="宋体" w:hAnsi="宋体"/>
          <w:sz w:val="24"/>
        </w:rPr>
        <w:t>的</w:t>
      </w:r>
      <w:r>
        <w:rPr>
          <w:rFonts w:hint="eastAsia" w:ascii="宋体" w:hAnsi="宋体"/>
          <w:sz w:val="24"/>
        </w:rPr>
        <w:t>报价保证金</w:t>
      </w:r>
      <w:r>
        <w:rPr>
          <w:rFonts w:ascii="宋体" w:hAnsi="宋体"/>
          <w:sz w:val="24"/>
        </w:rPr>
        <w:t>，因</w:t>
      </w:r>
      <w:r>
        <w:rPr>
          <w:rFonts w:hint="eastAsia" w:ascii="宋体" w:hAnsi="宋体"/>
          <w:sz w:val="24"/>
        </w:rPr>
        <w:t>供应商</w:t>
      </w:r>
      <w:r>
        <w:rPr>
          <w:rFonts w:ascii="宋体" w:hAnsi="宋体"/>
          <w:sz w:val="24"/>
        </w:rPr>
        <w:t>自身原因导致无法及时退还的除外：</w:t>
      </w:r>
    </w:p>
    <w:p>
      <w:pPr>
        <w:numPr>
          <w:ilvl w:val="2"/>
          <w:numId w:val="8"/>
        </w:numPr>
        <w:snapToGrid w:val="0"/>
        <w:spacing w:line="360" w:lineRule="auto"/>
        <w:rPr>
          <w:rFonts w:ascii="宋体" w:hAnsi="宋体"/>
          <w:sz w:val="24"/>
        </w:rPr>
      </w:pPr>
      <w:r>
        <w:rPr>
          <w:rFonts w:hint="eastAsia" w:ascii="宋体" w:hAnsi="宋体"/>
          <w:sz w:val="24"/>
        </w:rPr>
        <w:t>供应商</w:t>
      </w:r>
      <w:r>
        <w:rPr>
          <w:rFonts w:ascii="宋体" w:hAnsi="宋体"/>
          <w:sz w:val="24"/>
        </w:rPr>
        <w:t>在</w:t>
      </w:r>
      <w:r>
        <w:rPr>
          <w:rFonts w:hint="eastAsia" w:ascii="宋体" w:hAnsi="宋体"/>
          <w:sz w:val="24"/>
        </w:rPr>
        <w:t>响应</w:t>
      </w:r>
      <w:r>
        <w:rPr>
          <w:rFonts w:ascii="宋体" w:hAnsi="宋体"/>
          <w:sz w:val="24"/>
        </w:rPr>
        <w:t>截止时间前撤回已提交的</w:t>
      </w:r>
      <w:r>
        <w:rPr>
          <w:rFonts w:hint="eastAsia" w:ascii="宋体" w:hAnsi="宋体"/>
          <w:sz w:val="24"/>
        </w:rPr>
        <w:t>响应文件</w:t>
      </w:r>
      <w:r>
        <w:rPr>
          <w:rFonts w:ascii="宋体" w:hAnsi="宋体"/>
          <w:sz w:val="24"/>
        </w:rPr>
        <w:t>的，自收到</w:t>
      </w:r>
      <w:r>
        <w:rPr>
          <w:rFonts w:hint="eastAsia" w:ascii="宋体" w:hAnsi="宋体"/>
          <w:sz w:val="24"/>
        </w:rPr>
        <w:t>供应商</w:t>
      </w:r>
      <w:r>
        <w:rPr>
          <w:rFonts w:ascii="宋体" w:hAnsi="宋体"/>
          <w:sz w:val="24"/>
        </w:rPr>
        <w:t>书面撤回通知之日起5个工作日内退还已收取的</w:t>
      </w:r>
      <w:r>
        <w:rPr>
          <w:rFonts w:hint="eastAsia" w:ascii="宋体" w:hAnsi="宋体"/>
          <w:sz w:val="24"/>
        </w:rPr>
        <w:t>报价保证金</w:t>
      </w:r>
      <w:r>
        <w:rPr>
          <w:rFonts w:ascii="宋体" w:hAnsi="宋体"/>
          <w:sz w:val="24"/>
        </w:rPr>
        <w:t>；</w:t>
      </w:r>
    </w:p>
    <w:p>
      <w:pPr>
        <w:numPr>
          <w:ilvl w:val="2"/>
          <w:numId w:val="8"/>
        </w:numPr>
        <w:snapToGrid w:val="0"/>
        <w:spacing w:line="360" w:lineRule="auto"/>
        <w:rPr>
          <w:rFonts w:ascii="宋体" w:hAnsi="宋体"/>
          <w:sz w:val="24"/>
        </w:rPr>
      </w:pPr>
      <w:r>
        <w:rPr>
          <w:rFonts w:hint="eastAsia" w:ascii="宋体" w:hAnsi="宋体"/>
          <w:sz w:val="24"/>
        </w:rPr>
        <w:t>成交人</w:t>
      </w:r>
      <w:r>
        <w:rPr>
          <w:rFonts w:ascii="宋体" w:hAnsi="宋体"/>
          <w:sz w:val="24"/>
        </w:rPr>
        <w:t>的</w:t>
      </w:r>
      <w:r>
        <w:rPr>
          <w:rFonts w:hint="eastAsia" w:ascii="宋体" w:hAnsi="宋体"/>
          <w:sz w:val="24"/>
        </w:rPr>
        <w:t>报价保证金</w:t>
      </w:r>
      <w:r>
        <w:rPr>
          <w:rFonts w:ascii="宋体" w:hAnsi="宋体"/>
          <w:sz w:val="24"/>
        </w:rPr>
        <w:t>，自采购合同签订之日起5个工作日内退还</w:t>
      </w:r>
      <w:r>
        <w:rPr>
          <w:rFonts w:hint="eastAsia" w:ascii="宋体" w:hAnsi="宋体"/>
          <w:sz w:val="24"/>
        </w:rPr>
        <w:t>成交人</w:t>
      </w:r>
      <w:r>
        <w:rPr>
          <w:rFonts w:ascii="宋体" w:hAnsi="宋体"/>
          <w:sz w:val="24"/>
        </w:rPr>
        <w:t>；</w:t>
      </w:r>
    </w:p>
    <w:p>
      <w:pPr>
        <w:numPr>
          <w:ilvl w:val="2"/>
          <w:numId w:val="8"/>
        </w:numPr>
        <w:snapToGrid w:val="0"/>
        <w:spacing w:line="360" w:lineRule="auto"/>
        <w:rPr>
          <w:rFonts w:ascii="宋体" w:hAnsi="宋体"/>
          <w:sz w:val="24"/>
        </w:rPr>
      </w:pPr>
      <w:r>
        <w:rPr>
          <w:rFonts w:ascii="宋体" w:hAnsi="宋体"/>
          <w:sz w:val="24"/>
        </w:rPr>
        <w:t>未</w:t>
      </w:r>
      <w:r>
        <w:rPr>
          <w:rFonts w:hint="eastAsia" w:ascii="宋体" w:hAnsi="宋体"/>
          <w:sz w:val="24"/>
        </w:rPr>
        <w:t>成交供应商</w:t>
      </w:r>
      <w:r>
        <w:rPr>
          <w:rFonts w:ascii="宋体" w:hAnsi="宋体"/>
          <w:sz w:val="24"/>
        </w:rPr>
        <w:t>的</w:t>
      </w:r>
      <w:r>
        <w:rPr>
          <w:rFonts w:hint="eastAsia" w:ascii="宋体" w:hAnsi="宋体"/>
          <w:sz w:val="24"/>
        </w:rPr>
        <w:t>报价保证金</w:t>
      </w:r>
      <w:r>
        <w:rPr>
          <w:rFonts w:ascii="宋体" w:hAnsi="宋体"/>
          <w:sz w:val="24"/>
        </w:rPr>
        <w:t>，自</w:t>
      </w:r>
      <w:r>
        <w:rPr>
          <w:rFonts w:hint="eastAsia" w:ascii="宋体" w:hAnsi="宋体"/>
          <w:sz w:val="24"/>
        </w:rPr>
        <w:t>成交</w:t>
      </w:r>
      <w:r>
        <w:rPr>
          <w:rFonts w:ascii="宋体" w:hAnsi="宋体"/>
          <w:sz w:val="24"/>
        </w:rPr>
        <w:t>通知书发出之日起5个工作日内退还未</w:t>
      </w:r>
      <w:r>
        <w:rPr>
          <w:rFonts w:hint="eastAsia" w:ascii="宋体" w:hAnsi="宋体"/>
          <w:sz w:val="24"/>
        </w:rPr>
        <w:t>成交人</w:t>
      </w:r>
      <w:r>
        <w:rPr>
          <w:rFonts w:ascii="宋体" w:hAnsi="宋体"/>
          <w:sz w:val="24"/>
        </w:rPr>
        <w:t>；</w:t>
      </w:r>
    </w:p>
    <w:p>
      <w:pPr>
        <w:numPr>
          <w:ilvl w:val="2"/>
          <w:numId w:val="8"/>
        </w:numPr>
        <w:snapToGrid w:val="0"/>
        <w:spacing w:line="360" w:lineRule="auto"/>
        <w:rPr>
          <w:rFonts w:ascii="宋体" w:hAnsi="宋体"/>
          <w:sz w:val="24"/>
        </w:rPr>
      </w:pPr>
      <w:r>
        <w:rPr>
          <w:rFonts w:ascii="宋体" w:hAnsi="宋体"/>
          <w:sz w:val="24"/>
        </w:rPr>
        <w:t>终止招标项目已经收取</w:t>
      </w:r>
      <w:r>
        <w:rPr>
          <w:rFonts w:hint="eastAsia" w:ascii="宋体" w:hAnsi="宋体"/>
          <w:sz w:val="24"/>
        </w:rPr>
        <w:t>报价保证金</w:t>
      </w:r>
      <w:r>
        <w:rPr>
          <w:rFonts w:ascii="宋体" w:hAnsi="宋体"/>
          <w:sz w:val="24"/>
        </w:rPr>
        <w:t>的，自终止采购活动后5个工作日内退还已收取的</w:t>
      </w:r>
      <w:r>
        <w:rPr>
          <w:rFonts w:hint="eastAsia" w:ascii="宋体" w:hAnsi="宋体"/>
          <w:sz w:val="24"/>
        </w:rPr>
        <w:t>报价保证金</w:t>
      </w:r>
      <w:r>
        <w:rPr>
          <w:rFonts w:ascii="宋体" w:hAnsi="宋体"/>
          <w:sz w:val="24"/>
        </w:rPr>
        <w:t>及其在银行产生的孳息。</w:t>
      </w:r>
    </w:p>
    <w:p>
      <w:pPr>
        <w:tabs>
          <w:tab w:val="left" w:pos="1980"/>
        </w:tabs>
        <w:snapToGrid w:val="0"/>
        <w:spacing w:line="360" w:lineRule="auto"/>
        <w:ind w:left="1080"/>
        <w:rPr>
          <w:rFonts w:ascii="宋体" w:hAnsi="宋体"/>
          <w:sz w:val="24"/>
        </w:rPr>
      </w:pPr>
      <w:r>
        <w:rPr>
          <w:rFonts w:hint="eastAsia" w:ascii="宋体" w:hAnsi="宋体"/>
          <w:sz w:val="24"/>
        </w:rPr>
        <w:t>采用银行保函、担保机构担保函等形式递交的报价保证金，经供应商同意后采购人、采购代理机构可以不再退还。</w:t>
      </w:r>
    </w:p>
    <w:p>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有下列情形之一的，采购人或采购代理机构可以不予退还</w:t>
      </w:r>
      <w:r>
        <w:rPr>
          <w:rFonts w:hint="eastAsia" w:ascii="宋体" w:hAnsi="宋体"/>
          <w:sz w:val="24"/>
        </w:rPr>
        <w:t>报价保证金</w:t>
      </w:r>
      <w:r>
        <w:rPr>
          <w:rFonts w:ascii="宋体" w:hAnsi="宋体"/>
          <w:sz w:val="24"/>
        </w:rPr>
        <w:t>：</w:t>
      </w:r>
    </w:p>
    <w:p>
      <w:pPr>
        <w:numPr>
          <w:ilvl w:val="2"/>
          <w:numId w:val="8"/>
        </w:numPr>
        <w:snapToGrid w:val="0"/>
        <w:spacing w:line="360" w:lineRule="auto"/>
        <w:rPr>
          <w:rFonts w:ascii="宋体" w:hAnsi="宋体"/>
          <w:sz w:val="24"/>
        </w:rPr>
      </w:pPr>
      <w:r>
        <w:rPr>
          <w:rFonts w:hint="eastAsia" w:ascii="宋体" w:hAnsi="宋体"/>
          <w:sz w:val="24"/>
        </w:rPr>
        <w:t>报价有效期</w:t>
      </w:r>
      <w:r>
        <w:rPr>
          <w:rFonts w:ascii="宋体" w:hAnsi="宋体"/>
          <w:sz w:val="24"/>
        </w:rPr>
        <w:t>内</w:t>
      </w:r>
      <w:r>
        <w:rPr>
          <w:rFonts w:hint="eastAsia" w:ascii="宋体" w:hAnsi="宋体"/>
          <w:sz w:val="24"/>
        </w:rPr>
        <w:t>供应商</w:t>
      </w:r>
      <w:r>
        <w:rPr>
          <w:rFonts w:ascii="宋体" w:hAnsi="宋体"/>
          <w:sz w:val="24"/>
        </w:rPr>
        <w:t>撤销</w:t>
      </w:r>
      <w:r>
        <w:rPr>
          <w:rFonts w:hint="eastAsia" w:ascii="宋体" w:hAnsi="宋体"/>
          <w:sz w:val="24"/>
        </w:rPr>
        <w:t>响应文件</w:t>
      </w:r>
      <w:r>
        <w:rPr>
          <w:rFonts w:ascii="宋体" w:hAnsi="宋体"/>
          <w:sz w:val="24"/>
        </w:rPr>
        <w:t>的；</w:t>
      </w:r>
    </w:p>
    <w:p>
      <w:pPr>
        <w:numPr>
          <w:ilvl w:val="2"/>
          <w:numId w:val="8"/>
        </w:numPr>
        <w:tabs>
          <w:tab w:val="left" w:pos="900"/>
          <w:tab w:val="left" w:pos="1080"/>
          <w:tab w:val="left" w:pos="2014"/>
        </w:tabs>
        <w:snapToGrid w:val="0"/>
        <w:spacing w:line="360" w:lineRule="auto"/>
        <w:rPr>
          <w:rFonts w:ascii="宋体" w:hAnsi="宋体"/>
          <w:sz w:val="24"/>
        </w:rPr>
      </w:pPr>
      <w:r>
        <w:rPr>
          <w:rFonts w:ascii="宋体" w:hAnsi="宋体"/>
          <w:sz w:val="24"/>
        </w:rPr>
        <w:t>《</w:t>
      </w:r>
      <w:r>
        <w:rPr>
          <w:rFonts w:hint="eastAsia" w:ascii="宋体" w:hAnsi="宋体"/>
          <w:sz w:val="24"/>
        </w:rPr>
        <w:t>供应商</w:t>
      </w:r>
      <w:r>
        <w:rPr>
          <w:rFonts w:ascii="宋体" w:hAnsi="宋体"/>
          <w:sz w:val="24"/>
        </w:rPr>
        <w:t>须知资料表》中规定的其他情形。</w:t>
      </w:r>
    </w:p>
    <w:p>
      <w:pPr>
        <w:numPr>
          <w:ilvl w:val="0"/>
          <w:numId w:val="8"/>
        </w:numPr>
        <w:tabs>
          <w:tab w:val="left" w:pos="360"/>
        </w:tabs>
        <w:snapToGrid w:val="0"/>
        <w:spacing w:line="360" w:lineRule="auto"/>
        <w:ind w:left="357" w:hanging="357"/>
        <w:outlineLvl w:val="1"/>
        <w:rPr>
          <w:rFonts w:ascii="宋体" w:hAnsi="宋体"/>
          <w:sz w:val="24"/>
        </w:rPr>
      </w:pPr>
      <w:r>
        <w:rPr>
          <w:rFonts w:hint="eastAsia" w:ascii="宋体" w:hAnsi="宋体"/>
          <w:sz w:val="24"/>
        </w:rPr>
        <w:t>报价有效期</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响应文件</w:t>
      </w:r>
      <w:r>
        <w:rPr>
          <w:rFonts w:ascii="宋体" w:hAnsi="宋体"/>
          <w:sz w:val="24"/>
        </w:rPr>
        <w:t>应在本</w:t>
      </w:r>
      <w:r>
        <w:rPr>
          <w:rFonts w:hint="eastAsia" w:ascii="宋体" w:hAnsi="宋体"/>
          <w:sz w:val="24"/>
        </w:rPr>
        <w:t>比选文件</w:t>
      </w:r>
      <w:r>
        <w:rPr>
          <w:rFonts w:ascii="宋体" w:hAnsi="宋体"/>
          <w:sz w:val="24"/>
        </w:rPr>
        <w:t>《</w:t>
      </w:r>
      <w:r>
        <w:rPr>
          <w:rFonts w:hint="eastAsia" w:ascii="宋体" w:hAnsi="宋体"/>
          <w:sz w:val="24"/>
        </w:rPr>
        <w:t>供应商</w:t>
      </w:r>
      <w:r>
        <w:rPr>
          <w:rFonts w:ascii="宋体" w:hAnsi="宋体"/>
          <w:sz w:val="24"/>
        </w:rPr>
        <w:t>须知资料表》中规定的</w:t>
      </w:r>
      <w:r>
        <w:rPr>
          <w:rFonts w:hint="eastAsia" w:ascii="宋体" w:hAnsi="宋体"/>
          <w:sz w:val="24"/>
        </w:rPr>
        <w:t>报价有效期</w:t>
      </w:r>
      <w:r>
        <w:rPr>
          <w:rFonts w:ascii="宋体" w:hAnsi="宋体"/>
          <w:sz w:val="24"/>
        </w:rPr>
        <w:t>内保持有效，</w:t>
      </w:r>
      <w:r>
        <w:rPr>
          <w:rFonts w:hint="eastAsia" w:ascii="宋体" w:hAnsi="宋体"/>
          <w:sz w:val="24"/>
        </w:rPr>
        <w:t>报价有效期</w:t>
      </w:r>
      <w:r>
        <w:rPr>
          <w:rFonts w:ascii="宋体" w:hAnsi="宋体"/>
          <w:sz w:val="24"/>
        </w:rPr>
        <w:t>少于</w:t>
      </w:r>
      <w:r>
        <w:rPr>
          <w:rFonts w:hint="eastAsia" w:ascii="宋体" w:hAnsi="宋体"/>
          <w:sz w:val="24"/>
        </w:rPr>
        <w:t>比选文件</w:t>
      </w:r>
      <w:r>
        <w:rPr>
          <w:rFonts w:ascii="宋体" w:hAnsi="宋体"/>
          <w:sz w:val="24"/>
        </w:rPr>
        <w:t>规定期限的，其</w:t>
      </w:r>
      <w:r>
        <w:rPr>
          <w:rFonts w:hint="eastAsia" w:ascii="宋体" w:hAnsi="宋体"/>
          <w:b/>
          <w:sz w:val="24"/>
        </w:rPr>
        <w:t>响应</w:t>
      </w:r>
      <w:r>
        <w:rPr>
          <w:rFonts w:ascii="宋体" w:hAnsi="宋体"/>
          <w:b/>
          <w:sz w:val="24"/>
        </w:rPr>
        <w:t>无效</w:t>
      </w:r>
      <w:r>
        <w:rPr>
          <w:rFonts w:ascii="宋体" w:hAnsi="宋体"/>
          <w:sz w:val="24"/>
        </w:rPr>
        <w:t>。</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采购人或采购代理机构可根据实际情况，在原报价有效期截止之前，要求供应商同意延长响应文件的有效期。接受该要求的供应商将不会被要求和允许修正其其它内容，且本须知中有关报价保证金的要求将在延长了的有效期内继续有效。供应商也可以拒绝招标采购单位的这种要求，其报价保证金将予以退还。上述要求和答复都应以书面形式提交。</w:t>
      </w:r>
    </w:p>
    <w:p>
      <w:pPr>
        <w:numPr>
          <w:ilvl w:val="0"/>
          <w:numId w:val="8"/>
        </w:numPr>
        <w:tabs>
          <w:tab w:val="left" w:pos="360"/>
        </w:tabs>
        <w:snapToGrid w:val="0"/>
        <w:spacing w:line="360" w:lineRule="auto"/>
        <w:ind w:left="357" w:hanging="357"/>
        <w:outlineLvl w:val="1"/>
        <w:rPr>
          <w:rFonts w:ascii="宋体" w:hAnsi="宋体"/>
          <w:sz w:val="24"/>
        </w:rPr>
      </w:pPr>
      <w:bookmarkStart w:id="309" w:name="_Toc151193775"/>
      <w:bookmarkStart w:id="310" w:name="_Toc226965806"/>
      <w:bookmarkStart w:id="311" w:name="_Toc127151533"/>
      <w:bookmarkStart w:id="312" w:name="_Toc164229374"/>
      <w:bookmarkStart w:id="313" w:name="_Toc265228371"/>
      <w:bookmarkStart w:id="314" w:name="_Toc226309777"/>
      <w:bookmarkStart w:id="315" w:name="_Toc149720826"/>
      <w:bookmarkStart w:id="316" w:name="_Toc226337229"/>
      <w:bookmarkStart w:id="317" w:name="_Toc520356158"/>
      <w:bookmarkStart w:id="318" w:name="_Toc150774738"/>
      <w:bookmarkStart w:id="319" w:name="_Toc151193631"/>
      <w:bookmarkStart w:id="320" w:name="_Toc150480771"/>
      <w:bookmarkStart w:id="321" w:name="_Toc150774633"/>
      <w:bookmarkStart w:id="322" w:name="_Toc195842898"/>
      <w:bookmarkStart w:id="323" w:name="_Toc151193847"/>
      <w:bookmarkStart w:id="324" w:name="_Toc305158801"/>
      <w:bookmarkStart w:id="325" w:name="_Toc150509284"/>
      <w:bookmarkStart w:id="326" w:name="_Toc127151734"/>
      <w:bookmarkStart w:id="327" w:name="_Toc151190160"/>
      <w:bookmarkStart w:id="328" w:name="_Toc164229228"/>
      <w:bookmarkStart w:id="329" w:name="_Toc151193921"/>
      <w:bookmarkStart w:id="330" w:name="_Toc142311035"/>
      <w:bookmarkStart w:id="331" w:name="_Toc264969223"/>
      <w:bookmarkStart w:id="332" w:name="_Toc164608647"/>
      <w:bookmarkStart w:id="333" w:name="_Toc164351627"/>
      <w:bookmarkStart w:id="334" w:name="_Toc305158875"/>
      <w:bookmarkStart w:id="335" w:name="_Toc127161447"/>
      <w:bookmarkStart w:id="336" w:name="_Toc151193703"/>
      <w:bookmarkStart w:id="337" w:name="_Toc226965723"/>
      <w:bookmarkStart w:id="338" w:name="_Toc164608802"/>
      <w:r>
        <w:rPr>
          <w:rFonts w:hint="eastAsia" w:ascii="宋体" w:hAnsi="宋体"/>
          <w:sz w:val="24"/>
        </w:rPr>
        <w:t>响应文件</w:t>
      </w:r>
      <w:r>
        <w:rPr>
          <w:rFonts w:ascii="宋体" w:hAnsi="宋体"/>
          <w:sz w:val="24"/>
        </w:rPr>
        <w:t>的签署</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Pr>
          <w:rFonts w:ascii="宋体" w:hAnsi="宋体"/>
          <w:sz w:val="24"/>
        </w:rPr>
        <w:t>、盖章</w:t>
      </w:r>
    </w:p>
    <w:p>
      <w:pPr>
        <w:numPr>
          <w:ilvl w:val="1"/>
          <w:numId w:val="8"/>
        </w:numPr>
        <w:tabs>
          <w:tab w:val="left" w:pos="1080"/>
          <w:tab w:val="left" w:pos="2014"/>
        </w:tabs>
        <w:snapToGrid w:val="0"/>
        <w:spacing w:line="360" w:lineRule="auto"/>
        <w:ind w:left="1077" w:hanging="720"/>
        <w:rPr>
          <w:rFonts w:ascii="宋体" w:hAnsi="宋体"/>
          <w:sz w:val="24"/>
        </w:rPr>
      </w:pPr>
      <w:bookmarkStart w:id="339" w:name="_Toc305158876"/>
      <w:bookmarkStart w:id="340" w:name="_Toc226309778"/>
      <w:bookmarkStart w:id="341" w:name="_Toc520356159"/>
      <w:bookmarkStart w:id="342" w:name="_Toc195842899"/>
      <w:bookmarkStart w:id="343" w:name="_Toc151193776"/>
      <w:bookmarkStart w:id="344" w:name="_Toc142311036"/>
      <w:bookmarkStart w:id="345" w:name="_Toc150480772"/>
      <w:bookmarkStart w:id="346" w:name="_Toc151193848"/>
      <w:bookmarkStart w:id="347" w:name="_Toc150509285"/>
      <w:bookmarkStart w:id="348" w:name="_Toc264969224"/>
      <w:bookmarkStart w:id="349" w:name="_Toc151193922"/>
      <w:bookmarkStart w:id="350" w:name="_Toc226337230"/>
      <w:bookmarkStart w:id="351" w:name="_Toc226965724"/>
      <w:bookmarkStart w:id="352" w:name="_Toc150774739"/>
      <w:bookmarkStart w:id="353" w:name="_Toc150774634"/>
      <w:bookmarkStart w:id="354" w:name="_Toc127151534"/>
      <w:bookmarkStart w:id="355" w:name="_Toc226965807"/>
      <w:bookmarkStart w:id="356" w:name="_Toc265228372"/>
      <w:bookmarkStart w:id="357" w:name="_Toc151193632"/>
      <w:bookmarkStart w:id="358" w:name="_Toc151190161"/>
      <w:bookmarkStart w:id="359" w:name="_Toc151193704"/>
      <w:bookmarkStart w:id="360" w:name="_Toc305158802"/>
      <w:r>
        <w:rPr>
          <w:rFonts w:hint="eastAsia" w:ascii="宋体" w:hAnsi="宋体"/>
          <w:sz w:val="24"/>
        </w:rPr>
        <w:t>供应商</w:t>
      </w:r>
      <w:r>
        <w:rPr>
          <w:rFonts w:ascii="宋体" w:hAnsi="宋体"/>
          <w:sz w:val="24"/>
        </w:rPr>
        <w:t>应按</w:t>
      </w:r>
      <w:r>
        <w:rPr>
          <w:rFonts w:hint="eastAsia" w:ascii="宋体" w:hAnsi="宋体"/>
          <w:sz w:val="24"/>
        </w:rPr>
        <w:t>比选文件响应</w:t>
      </w:r>
      <w:r>
        <w:rPr>
          <w:rFonts w:ascii="宋体" w:hAnsi="宋体"/>
          <w:sz w:val="24"/>
        </w:rPr>
        <w:t>须知资料表的规定准备</w:t>
      </w:r>
      <w:r>
        <w:rPr>
          <w:rFonts w:hint="eastAsia" w:ascii="宋体" w:hAnsi="宋体"/>
          <w:sz w:val="24"/>
        </w:rPr>
        <w:t>响应文件</w:t>
      </w:r>
      <w:r>
        <w:rPr>
          <w:rFonts w:ascii="宋体" w:hAnsi="宋体"/>
          <w:sz w:val="24"/>
        </w:rPr>
        <w:t>正本和副本</w:t>
      </w:r>
      <w:r>
        <w:rPr>
          <w:rFonts w:hint="eastAsia" w:ascii="宋体" w:hAnsi="宋体"/>
          <w:sz w:val="24"/>
        </w:rPr>
        <w:t>以及电子版，每份响应文件须清楚地标明“正本”或“副本”。副本可采用正本的复印件。若正本和副本不符，以正本为准；电子版响应文件和纸质版响应文件不符，以纸质版响应文件为准。</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响应文件需打印或用不退色墨水书写，并由供应商的法定代表人或经其正式授权的代表在响应文件上规定的地方签字并加盖单位公章(标书中所要求盖章处均为单位公章，其他印章如响应专用章、业务专用章、合同专用章等均无效)。授权代表须持有书面的“法定代表人授权书”（标准格式附后），并将其附在响应文件中。</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任何行间插字、涂改和增删，必须由响应文件签字人在修改处签字并加盖公章。</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响应文件因字迹潦草或表达不清所引起的后果由供应商负责。</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响应文件</w:t>
      </w:r>
      <w:r>
        <w:rPr>
          <w:rFonts w:hint="eastAsia" w:ascii="宋体" w:hAnsi="宋体"/>
          <w:b/>
          <w:bCs/>
          <w:sz w:val="24"/>
        </w:rPr>
        <w:t>应确保装订牢固、目录清楚、页码准确，不得采用活页式装订，建议双面打印</w:t>
      </w:r>
      <w:r>
        <w:rPr>
          <w:rFonts w:hint="eastAsia" w:ascii="宋体" w:hAnsi="宋体"/>
          <w:sz w:val="24"/>
        </w:rPr>
        <w:t>。采购人、采购代理机构对因装订不牢造成的文件散失不负责任。</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供应商为自然人的，只须按要求签字，响应文件所有加盖公章的要求均不适用。</w:t>
      </w:r>
    </w:p>
    <w:p>
      <w:pPr>
        <w:pStyle w:val="5"/>
        <w:spacing w:before="0" w:line="360" w:lineRule="auto"/>
        <w:rPr>
          <w:rFonts w:ascii="宋体" w:hAnsi="宋体" w:eastAsia="宋体"/>
          <w:sz w:val="28"/>
        </w:rPr>
      </w:pPr>
      <w:r>
        <w:rPr>
          <w:rFonts w:ascii="宋体" w:hAnsi="宋体" w:eastAsia="宋体"/>
          <w:sz w:val="28"/>
        </w:rPr>
        <w:t xml:space="preserve">四  </w:t>
      </w:r>
      <w:r>
        <w:rPr>
          <w:rFonts w:hint="eastAsia" w:ascii="宋体" w:hAnsi="宋体" w:eastAsia="宋体"/>
          <w:sz w:val="28"/>
        </w:rPr>
        <w:t>响应文件</w:t>
      </w:r>
      <w:r>
        <w:rPr>
          <w:rFonts w:ascii="宋体" w:hAnsi="宋体" w:eastAsia="宋体"/>
          <w:sz w:val="28"/>
        </w:rPr>
        <w:t>的提交</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numPr>
          <w:ilvl w:val="0"/>
          <w:numId w:val="8"/>
        </w:numPr>
        <w:tabs>
          <w:tab w:val="left" w:pos="360"/>
        </w:tabs>
        <w:snapToGrid w:val="0"/>
        <w:spacing w:line="360" w:lineRule="auto"/>
        <w:ind w:left="357" w:hanging="357"/>
        <w:outlineLvl w:val="1"/>
        <w:rPr>
          <w:rFonts w:ascii="宋体" w:hAnsi="宋体"/>
          <w:sz w:val="24"/>
        </w:rPr>
      </w:pPr>
      <w:r>
        <w:rPr>
          <w:rFonts w:hint="eastAsia" w:ascii="宋体" w:hAnsi="宋体"/>
          <w:sz w:val="24"/>
        </w:rPr>
        <w:t>响应文件的密封和标记</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供应商应按包将响应文件正本和所有的副本、电子版分开密封装在单独的包装中，且在包装正面标明“正本”、“副本”、“电子版”字样。</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为方便开选，供应商应将 “开选一览表”单独密封，并在包装上标明“开选一览表”字样，单独递交。</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 xml:space="preserve"> 为方便核查保证金，供应商应将“报价保证金”单独密封，并在包装上标明 “报价保证金”字样，单独递交（若报价保证金采用电汇/网银方式，提供电汇底单/转账网页复印件，并加盖供应商公章；若采用保函、支票等形式，须提供保函/支票的原件）。</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所有包装上均应注明如下内容：</w:t>
      </w:r>
    </w:p>
    <w:p>
      <w:pPr>
        <w:tabs>
          <w:tab w:val="left" w:pos="1080"/>
          <w:tab w:val="left" w:pos="2014"/>
        </w:tabs>
        <w:snapToGrid w:val="0"/>
        <w:spacing w:line="360" w:lineRule="auto"/>
        <w:ind w:left="1134"/>
        <w:rPr>
          <w:rFonts w:ascii="宋体" w:hAnsi="宋体"/>
          <w:sz w:val="24"/>
        </w:rPr>
      </w:pPr>
      <w:r>
        <w:rPr>
          <w:rFonts w:hint="eastAsia" w:ascii="宋体" w:hAnsi="宋体"/>
          <w:sz w:val="24"/>
        </w:rPr>
        <w:t>1）清楚标明递交至规定的文件递交地址。</w:t>
      </w:r>
    </w:p>
    <w:p>
      <w:pPr>
        <w:tabs>
          <w:tab w:val="left" w:pos="1080"/>
          <w:tab w:val="left" w:pos="2014"/>
        </w:tabs>
        <w:snapToGrid w:val="0"/>
        <w:spacing w:line="360" w:lineRule="auto"/>
        <w:ind w:left="1134"/>
        <w:rPr>
          <w:rFonts w:ascii="宋体" w:hAnsi="宋体"/>
          <w:sz w:val="24"/>
        </w:rPr>
      </w:pPr>
      <w:r>
        <w:rPr>
          <w:rFonts w:hint="eastAsia" w:ascii="宋体" w:hAnsi="宋体"/>
          <w:sz w:val="24"/>
        </w:rPr>
        <w:t>2）注明项目名称、项目编号、包号及对应名称和“在</w:t>
      </w:r>
      <w:r>
        <w:rPr>
          <w:rFonts w:hint="eastAsia" w:ascii="宋体" w:hAnsi="宋体"/>
          <w:sz w:val="24"/>
          <w:u w:val="single"/>
        </w:rPr>
        <w:t xml:space="preserve">     （开选日期、时间 ）    </w:t>
      </w:r>
      <w:r>
        <w:rPr>
          <w:rFonts w:hint="eastAsia" w:ascii="宋体" w:hAnsi="宋体"/>
          <w:sz w:val="24"/>
        </w:rPr>
        <w:t>之前不得启封”的字样。</w:t>
      </w:r>
    </w:p>
    <w:p>
      <w:pPr>
        <w:tabs>
          <w:tab w:val="left" w:pos="1080"/>
          <w:tab w:val="left" w:pos="2014"/>
        </w:tabs>
        <w:snapToGrid w:val="0"/>
        <w:spacing w:line="360" w:lineRule="auto"/>
        <w:ind w:left="1134"/>
        <w:rPr>
          <w:rFonts w:ascii="宋体" w:hAnsi="宋体"/>
          <w:sz w:val="24"/>
        </w:rPr>
      </w:pPr>
      <w:r>
        <w:rPr>
          <w:rFonts w:hint="eastAsia" w:ascii="宋体" w:hAnsi="宋体"/>
          <w:sz w:val="24"/>
        </w:rPr>
        <w:t>3）注明单位名称和地址。</w:t>
      </w:r>
    </w:p>
    <w:p>
      <w:pPr>
        <w:tabs>
          <w:tab w:val="left" w:pos="1080"/>
          <w:tab w:val="left" w:pos="2014"/>
        </w:tabs>
        <w:snapToGrid w:val="0"/>
        <w:spacing w:line="360" w:lineRule="auto"/>
        <w:ind w:left="1134"/>
        <w:rPr>
          <w:rFonts w:ascii="宋体" w:hAnsi="宋体"/>
          <w:sz w:val="24"/>
        </w:rPr>
      </w:pPr>
      <w:r>
        <w:rPr>
          <w:rFonts w:hint="eastAsia" w:ascii="宋体" w:hAnsi="宋体"/>
          <w:sz w:val="24"/>
        </w:rPr>
        <w:t>4）密封包装封面上须加盖供应商公章或授权代表签字。</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如果供应商未按上述要求密封及加写标记，采购人或采购代理机构对响应文件的误投或过早启封概不负责。</w:t>
      </w:r>
    </w:p>
    <w:p>
      <w:pPr>
        <w:pStyle w:val="39"/>
        <w:ind w:firstLine="420"/>
      </w:pPr>
    </w:p>
    <w:p>
      <w:pPr>
        <w:numPr>
          <w:ilvl w:val="0"/>
          <w:numId w:val="8"/>
        </w:numPr>
        <w:tabs>
          <w:tab w:val="left" w:pos="360"/>
        </w:tabs>
        <w:snapToGrid w:val="0"/>
        <w:spacing w:line="360" w:lineRule="auto"/>
        <w:ind w:left="357" w:hanging="357"/>
        <w:outlineLvl w:val="1"/>
        <w:rPr>
          <w:rFonts w:ascii="宋体" w:hAnsi="宋体"/>
          <w:sz w:val="24"/>
        </w:rPr>
      </w:pPr>
      <w:bookmarkStart w:id="361" w:name="_Toc151193850"/>
      <w:bookmarkStart w:id="362" w:name="_Toc195842901"/>
      <w:bookmarkStart w:id="363" w:name="_Toc151193634"/>
      <w:bookmarkStart w:id="364" w:name="_Toc127151536"/>
      <w:bookmarkStart w:id="365" w:name="_Toc305158878"/>
      <w:bookmarkStart w:id="366" w:name="_Toc164608805"/>
      <w:bookmarkStart w:id="367" w:name="_Toc226337232"/>
      <w:bookmarkStart w:id="368" w:name="_Toc305158804"/>
      <w:bookmarkStart w:id="369" w:name="_Toc226309780"/>
      <w:bookmarkStart w:id="370" w:name="_Toc265228374"/>
      <w:bookmarkStart w:id="371" w:name="_Toc164351630"/>
      <w:bookmarkStart w:id="372" w:name="_Toc226965809"/>
      <w:bookmarkStart w:id="373" w:name="_Toc127161450"/>
      <w:bookmarkStart w:id="374" w:name="_Toc520356161"/>
      <w:bookmarkStart w:id="375" w:name="_Toc150509287"/>
      <w:bookmarkStart w:id="376" w:name="_Toc226965726"/>
      <w:bookmarkStart w:id="377" w:name="_Toc150480774"/>
      <w:bookmarkStart w:id="378" w:name="_Toc150774636"/>
      <w:bookmarkStart w:id="379" w:name="_Toc164608650"/>
      <w:bookmarkStart w:id="380" w:name="_Toc149720829"/>
      <w:bookmarkStart w:id="381" w:name="_Toc164229231"/>
      <w:bookmarkStart w:id="382" w:name="_Toc142311038"/>
      <w:bookmarkStart w:id="383" w:name="_Toc264969226"/>
      <w:bookmarkStart w:id="384" w:name="_Toc127151737"/>
      <w:bookmarkStart w:id="385" w:name="_Toc150774741"/>
      <w:bookmarkStart w:id="386" w:name="_Toc151193778"/>
      <w:bookmarkStart w:id="387" w:name="_Toc164229377"/>
      <w:bookmarkStart w:id="388" w:name="_Toc151193924"/>
      <w:bookmarkStart w:id="389" w:name="_Toc151190163"/>
      <w:bookmarkStart w:id="390" w:name="_Toc151193706"/>
      <w:r>
        <w:rPr>
          <w:rFonts w:hint="eastAsia" w:ascii="宋体" w:hAnsi="宋体"/>
          <w:sz w:val="24"/>
        </w:rPr>
        <w:t>响应</w:t>
      </w:r>
      <w:r>
        <w:rPr>
          <w:rFonts w:ascii="宋体" w:hAnsi="宋体"/>
          <w:sz w:val="24"/>
        </w:rPr>
        <w:t>截止</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Pr>
          <w:rFonts w:ascii="宋体" w:hAnsi="宋体"/>
          <w:sz w:val="24"/>
        </w:rPr>
        <w:t>时间</w:t>
      </w:r>
    </w:p>
    <w:p>
      <w:pPr>
        <w:numPr>
          <w:ilvl w:val="1"/>
          <w:numId w:val="8"/>
        </w:numPr>
        <w:tabs>
          <w:tab w:val="left" w:pos="1080"/>
          <w:tab w:val="left" w:pos="2014"/>
        </w:tabs>
        <w:snapToGrid w:val="0"/>
        <w:spacing w:line="360" w:lineRule="auto"/>
        <w:ind w:left="1077" w:hanging="720"/>
        <w:rPr>
          <w:rFonts w:ascii="宋体" w:hAnsi="宋体"/>
          <w:sz w:val="24"/>
        </w:rPr>
      </w:pPr>
      <w:bookmarkStart w:id="391" w:name="_Toc151193851"/>
      <w:bookmarkStart w:id="392" w:name="_Toc150774742"/>
      <w:bookmarkStart w:id="393" w:name="_Toc265228375"/>
      <w:bookmarkStart w:id="394" w:name="_Toc305158805"/>
      <w:bookmarkStart w:id="395" w:name="_Toc520356162"/>
      <w:bookmarkStart w:id="396" w:name="_Toc164608806"/>
      <w:bookmarkStart w:id="397" w:name="_Toc151193707"/>
      <w:bookmarkStart w:id="398" w:name="_Toc150509288"/>
      <w:bookmarkStart w:id="399" w:name="_Toc305158879"/>
      <w:bookmarkStart w:id="400" w:name="_Toc226337233"/>
      <w:bookmarkStart w:id="401" w:name="_Toc226309781"/>
      <w:bookmarkStart w:id="402" w:name="_Toc151193635"/>
      <w:bookmarkStart w:id="403" w:name="_Toc151190164"/>
      <w:bookmarkStart w:id="404" w:name="_Toc127161451"/>
      <w:bookmarkStart w:id="405" w:name="_Toc226965727"/>
      <w:bookmarkStart w:id="406" w:name="_Toc151193779"/>
      <w:bookmarkStart w:id="407" w:name="_Toc164608651"/>
      <w:bookmarkStart w:id="408" w:name="_Toc142311039"/>
      <w:bookmarkStart w:id="409" w:name="_Toc195842902"/>
      <w:bookmarkStart w:id="410" w:name="_Toc127151537"/>
      <w:bookmarkStart w:id="411" w:name="_Toc150480775"/>
      <w:bookmarkStart w:id="412" w:name="_Toc150774637"/>
      <w:bookmarkStart w:id="413" w:name="_Toc151193925"/>
      <w:bookmarkStart w:id="414" w:name="_Toc127151738"/>
      <w:bookmarkStart w:id="415" w:name="_Toc164229378"/>
      <w:bookmarkStart w:id="416" w:name="_Toc149720830"/>
      <w:bookmarkStart w:id="417" w:name="_Toc164351631"/>
      <w:bookmarkStart w:id="418" w:name="_Toc164229232"/>
      <w:bookmarkStart w:id="419" w:name="_Toc226965810"/>
      <w:bookmarkStart w:id="420" w:name="_Toc264969227"/>
      <w:r>
        <w:rPr>
          <w:rFonts w:hint="eastAsia" w:ascii="宋体" w:hAnsi="宋体"/>
          <w:sz w:val="24"/>
        </w:rPr>
        <w:t>供应商应在规定的响应截止时间前，将响应文件密封送达至规定的地址。逾期送达或者未密封的响应文件，采购人或采购代理机构应当拒收。采购人或采购代理机构收到响应文件后，应当如实记载响应文件的送达时间和密封情况，签收保存，并向供应商出具签收回执。任何单位和个人不得在开选前开启响应文件。</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采购人或采购代理机构有权按本须知的规定，通过修改比选文件延长响应截止期。在此情况下，采购人、采购代理机构和供应商受响应截止期制约的所有权利和义务均应延长至新的截止期。</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采购人或</w:t>
      </w:r>
      <w:r>
        <w:rPr>
          <w:rFonts w:ascii="宋体" w:hAnsi="宋体"/>
          <w:sz w:val="24"/>
        </w:rPr>
        <w:t>采购代理机构将拒绝并原封退回在</w:t>
      </w:r>
      <w:r>
        <w:rPr>
          <w:rFonts w:hint="eastAsia" w:ascii="宋体" w:hAnsi="宋体"/>
          <w:sz w:val="24"/>
        </w:rPr>
        <w:t>响应</w:t>
      </w:r>
      <w:r>
        <w:rPr>
          <w:rFonts w:ascii="宋体" w:hAnsi="宋体"/>
          <w:sz w:val="24"/>
        </w:rPr>
        <w:t>截止</w:t>
      </w:r>
      <w:r>
        <w:rPr>
          <w:rFonts w:hint="eastAsia" w:ascii="宋体" w:hAnsi="宋体"/>
          <w:sz w:val="24"/>
        </w:rPr>
        <w:t>时间</w:t>
      </w:r>
      <w:r>
        <w:rPr>
          <w:rFonts w:ascii="宋体" w:hAnsi="宋体"/>
          <w:sz w:val="24"/>
        </w:rPr>
        <w:t>后收到的任何</w:t>
      </w:r>
      <w:r>
        <w:rPr>
          <w:rFonts w:hint="eastAsia" w:ascii="宋体" w:hAnsi="宋体"/>
          <w:sz w:val="24"/>
        </w:rPr>
        <w:t>响应文件</w:t>
      </w:r>
      <w:r>
        <w:rPr>
          <w:rFonts w:ascii="宋体" w:hAnsi="宋体"/>
          <w:sz w:val="24"/>
        </w:rPr>
        <w:t>。</w:t>
      </w:r>
    </w:p>
    <w:p>
      <w:pPr>
        <w:numPr>
          <w:ilvl w:val="0"/>
          <w:numId w:val="8"/>
        </w:numPr>
        <w:tabs>
          <w:tab w:val="left" w:pos="360"/>
        </w:tabs>
        <w:snapToGrid w:val="0"/>
        <w:spacing w:line="360" w:lineRule="auto"/>
        <w:ind w:left="357" w:hanging="357"/>
        <w:outlineLvl w:val="1"/>
        <w:rPr>
          <w:rFonts w:ascii="宋体" w:hAnsi="宋体"/>
          <w:sz w:val="24"/>
        </w:rPr>
      </w:pPr>
      <w:r>
        <w:rPr>
          <w:rFonts w:hint="eastAsia" w:ascii="宋体" w:hAnsi="宋体"/>
          <w:sz w:val="24"/>
        </w:rPr>
        <w:t>响应文件的修改、补充与撤回</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供应商在提交响应文件后，可在响应截止时间前对其响应文件进行修改、补充或撤回，但必须有修改、补充或撤回的书面通知并由法定代表人或正式授权的供应商代表签字并加盖公章。</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供应商对响应文件的补充或修改通知应按本章1</w:t>
      </w:r>
      <w:r>
        <w:rPr>
          <w:rFonts w:ascii="宋体" w:hAnsi="宋体"/>
          <w:sz w:val="24"/>
        </w:rPr>
        <w:t>5</w:t>
      </w:r>
      <w:r>
        <w:rPr>
          <w:rFonts w:hint="eastAsia" w:ascii="宋体" w:hAnsi="宋体"/>
          <w:sz w:val="24"/>
        </w:rPr>
        <w:t>条进行签署、盖章、密封和标记（注明项目名称、招标编号、“补充或修改通知”等）。</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在响应截止时间之后，供应商</w:t>
      </w:r>
      <w:r>
        <w:rPr>
          <w:rFonts w:ascii="宋体" w:hAnsi="宋体"/>
          <w:sz w:val="24"/>
        </w:rPr>
        <w:t>不得对其</w:t>
      </w:r>
      <w:r>
        <w:rPr>
          <w:rFonts w:hint="eastAsia" w:ascii="宋体" w:hAnsi="宋体"/>
          <w:sz w:val="24"/>
        </w:rPr>
        <w:t>响应文件</w:t>
      </w:r>
      <w:r>
        <w:rPr>
          <w:rFonts w:ascii="宋体" w:hAnsi="宋体"/>
          <w:sz w:val="24"/>
        </w:rPr>
        <w:t>做任何</w:t>
      </w:r>
      <w:r>
        <w:rPr>
          <w:rFonts w:hint="eastAsia" w:ascii="宋体" w:hAnsi="宋体"/>
          <w:sz w:val="24"/>
        </w:rPr>
        <w:t>补充、</w:t>
      </w:r>
      <w:r>
        <w:rPr>
          <w:rFonts w:ascii="宋体" w:hAnsi="宋体"/>
          <w:sz w:val="24"/>
        </w:rPr>
        <w:t>修改</w:t>
      </w:r>
      <w:r>
        <w:rPr>
          <w:rFonts w:hint="eastAsia" w:ascii="宋体" w:hAnsi="宋体"/>
          <w:sz w:val="24"/>
        </w:rPr>
        <w:t>（评标委员会要求的澄清除外）。</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在响应截止时间后、报价有效期内，供应商不得撤销其响应文件（包括全部响应资料），否则其报价保证金将不予退回。</w:t>
      </w:r>
    </w:p>
    <w:p>
      <w:pPr>
        <w:pStyle w:val="5"/>
        <w:spacing w:before="0" w:line="360" w:lineRule="auto"/>
        <w:rPr>
          <w:rFonts w:ascii="宋体" w:hAnsi="宋体" w:eastAsia="宋体"/>
          <w:sz w:val="28"/>
        </w:rPr>
      </w:pPr>
      <w:bookmarkStart w:id="421" w:name="_Toc305158880"/>
      <w:bookmarkStart w:id="422" w:name="_Toc150509289"/>
      <w:bookmarkStart w:id="423" w:name="_Toc520356163"/>
      <w:bookmarkStart w:id="424" w:name="_Toc151193780"/>
      <w:bookmarkStart w:id="425" w:name="_Toc151190165"/>
      <w:bookmarkStart w:id="426" w:name="_Toc195842903"/>
      <w:bookmarkStart w:id="427" w:name="_Toc305158806"/>
      <w:bookmarkStart w:id="428" w:name="_Toc265228376"/>
      <w:bookmarkStart w:id="429" w:name="_Toc142311040"/>
      <w:bookmarkStart w:id="430" w:name="_Toc226337234"/>
      <w:bookmarkStart w:id="431" w:name="_Toc150480776"/>
      <w:bookmarkStart w:id="432" w:name="_Toc151193926"/>
      <w:bookmarkStart w:id="433" w:name="_Toc264969228"/>
      <w:bookmarkStart w:id="434" w:name="_Toc127151538"/>
      <w:bookmarkStart w:id="435" w:name="_Toc226309782"/>
      <w:bookmarkStart w:id="436" w:name="_Toc150774743"/>
      <w:bookmarkStart w:id="437" w:name="_Toc226965728"/>
      <w:bookmarkStart w:id="438" w:name="_Toc151193852"/>
      <w:bookmarkStart w:id="439" w:name="_Toc151193708"/>
      <w:bookmarkStart w:id="440" w:name="_Toc226965811"/>
      <w:bookmarkStart w:id="441" w:name="_Toc151193636"/>
      <w:bookmarkStart w:id="442" w:name="_Toc150774638"/>
      <w:r>
        <w:rPr>
          <w:rFonts w:ascii="宋体" w:hAnsi="宋体" w:eastAsia="宋体"/>
          <w:sz w:val="28"/>
        </w:rPr>
        <w:t xml:space="preserve">五  </w:t>
      </w:r>
      <w:r>
        <w:rPr>
          <w:rFonts w:hint="eastAsia" w:ascii="宋体" w:hAnsi="宋体" w:eastAsia="宋体"/>
          <w:sz w:val="28"/>
        </w:rPr>
        <w:t>开选</w:t>
      </w:r>
      <w:r>
        <w:rPr>
          <w:rFonts w:ascii="宋体" w:hAnsi="宋体" w:eastAsia="宋体"/>
          <w:sz w:val="28"/>
        </w:rPr>
        <w:t>、资格审查及评标</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pPr>
        <w:numPr>
          <w:ilvl w:val="0"/>
          <w:numId w:val="8"/>
        </w:numPr>
        <w:tabs>
          <w:tab w:val="left" w:pos="360"/>
        </w:tabs>
        <w:snapToGrid w:val="0"/>
        <w:spacing w:line="360" w:lineRule="auto"/>
        <w:ind w:left="357" w:hanging="357"/>
        <w:outlineLvl w:val="1"/>
        <w:rPr>
          <w:rFonts w:ascii="宋体" w:hAnsi="宋体"/>
          <w:sz w:val="24"/>
        </w:rPr>
      </w:pPr>
      <w:r>
        <w:rPr>
          <w:rFonts w:hint="eastAsia" w:ascii="宋体" w:hAnsi="宋体"/>
          <w:sz w:val="24"/>
        </w:rPr>
        <w:t>开选</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采购代理机构应当按比选文件的规定，在响应截止时间的同一时间和预先确定的地点组织公开开选。供应商应派授权代表参加，参加开选的代表应签名报到以证明其出席。供应商因故不能派代表出席开选活动，事先应书面（信函、传真）通知采购代理机构，并承诺认可开选结果，否则视同认可开选结果。</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开选时，由供应商或其推选的代表检查响应文件的密封情况，经确认无误后，由采购代理机构当众宣读供应商名称、响应价格、书面修改和撤回响应的通知、是否提交报价保证金等。对于供应商在响应截止期前递交的响应声明，在开选时当众宣读，评标时有效。供应商不足3家的，不得开选。</w:t>
      </w:r>
    </w:p>
    <w:p>
      <w:pPr>
        <w:numPr>
          <w:ilvl w:val="1"/>
          <w:numId w:val="8"/>
        </w:numPr>
        <w:tabs>
          <w:tab w:val="left" w:pos="1080"/>
          <w:tab w:val="left" w:pos="2014"/>
        </w:tabs>
        <w:snapToGrid w:val="0"/>
        <w:spacing w:line="360" w:lineRule="auto"/>
        <w:ind w:left="1077" w:hanging="720"/>
        <w:rPr>
          <w:rFonts w:ascii="宋体" w:hAnsi="宋体"/>
          <w:sz w:val="24"/>
        </w:rPr>
      </w:pPr>
      <w:bookmarkStart w:id="443" w:name="_Toc520356165"/>
      <w:r>
        <w:rPr>
          <w:rFonts w:hint="eastAsia" w:ascii="宋体" w:hAnsi="宋体"/>
          <w:sz w:val="24"/>
        </w:rPr>
        <w:t>采购代理机构将对唱标内容做开选记录，由供应商代表和相关工作人员签字确认。</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供应商代表对开选过程和开选记录有疑义，以及认为采购人、采购代理机构相关工作人员有需要回避的情形的，应当场提出询问或者回避申请。采购人、采购代理机构对供应商代表提出的询问或者回避申请将及时处理。</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合格供应商不足3家的，不得评标。</w:t>
      </w:r>
    </w:p>
    <w:p>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资格审查</w:t>
      </w:r>
    </w:p>
    <w:p>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见第三章《评</w:t>
      </w:r>
      <w:r>
        <w:rPr>
          <w:rFonts w:hint="eastAsia" w:ascii="宋体" w:hAnsi="宋体"/>
          <w:sz w:val="24"/>
        </w:rPr>
        <w:t>审</w:t>
      </w:r>
      <w:r>
        <w:rPr>
          <w:rFonts w:ascii="宋体" w:hAnsi="宋体"/>
          <w:sz w:val="24"/>
        </w:rPr>
        <w:t>方法</w:t>
      </w:r>
      <w:r>
        <w:rPr>
          <w:rFonts w:hint="eastAsia" w:ascii="宋体" w:hAnsi="宋体"/>
          <w:sz w:val="24"/>
        </w:rPr>
        <w:t>和</w:t>
      </w:r>
      <w:r>
        <w:rPr>
          <w:rFonts w:ascii="宋体" w:hAnsi="宋体"/>
          <w:sz w:val="24"/>
        </w:rPr>
        <w:t>评</w:t>
      </w:r>
      <w:r>
        <w:rPr>
          <w:rFonts w:hint="eastAsia" w:ascii="宋体" w:hAnsi="宋体"/>
          <w:sz w:val="24"/>
        </w:rPr>
        <w:t>审</w:t>
      </w:r>
      <w:r>
        <w:rPr>
          <w:rFonts w:ascii="宋体" w:hAnsi="宋体"/>
          <w:sz w:val="24"/>
        </w:rPr>
        <w:t>程序》。</w:t>
      </w:r>
    </w:p>
    <w:bookmarkEnd w:id="443"/>
    <w:p>
      <w:pPr>
        <w:numPr>
          <w:ilvl w:val="0"/>
          <w:numId w:val="8"/>
        </w:numPr>
        <w:tabs>
          <w:tab w:val="left" w:pos="360"/>
        </w:tabs>
        <w:snapToGrid w:val="0"/>
        <w:spacing w:line="360" w:lineRule="auto"/>
        <w:ind w:left="357" w:hanging="357"/>
        <w:outlineLvl w:val="1"/>
        <w:rPr>
          <w:rFonts w:ascii="宋体" w:hAnsi="宋体"/>
          <w:sz w:val="24"/>
        </w:rPr>
      </w:pPr>
      <w:bookmarkStart w:id="444" w:name="_Toc305158882"/>
      <w:bookmarkStart w:id="445" w:name="_Toc164351634"/>
      <w:bookmarkStart w:id="446" w:name="_Toc150509291"/>
      <w:bookmarkStart w:id="447" w:name="_Toc150774640"/>
      <w:bookmarkStart w:id="448" w:name="_Toc164229381"/>
      <w:bookmarkStart w:id="449" w:name="_Toc151193638"/>
      <w:bookmarkStart w:id="450" w:name="_Toc226965813"/>
      <w:bookmarkStart w:id="451" w:name="_Toc305158808"/>
      <w:bookmarkStart w:id="452" w:name="_Toc150480778"/>
      <w:bookmarkStart w:id="453" w:name="_Toc195842905"/>
      <w:bookmarkStart w:id="454" w:name="_Toc150774745"/>
      <w:bookmarkStart w:id="455" w:name="_Toc264969230"/>
      <w:bookmarkStart w:id="456" w:name="_Toc151193710"/>
      <w:bookmarkStart w:id="457" w:name="_Toc151193928"/>
      <w:bookmarkStart w:id="458" w:name="_Toc127161454"/>
      <w:bookmarkStart w:id="459" w:name="_Toc226337236"/>
      <w:bookmarkStart w:id="460" w:name="_Toc151193782"/>
      <w:bookmarkStart w:id="461" w:name="_Toc151190167"/>
      <w:bookmarkStart w:id="462" w:name="_Toc127151741"/>
      <w:bookmarkStart w:id="463" w:name="_Toc149720833"/>
      <w:bookmarkStart w:id="464" w:name="_Toc151193854"/>
      <w:bookmarkStart w:id="465" w:name="_Toc164608654"/>
      <w:bookmarkStart w:id="466" w:name="_Toc164608809"/>
      <w:bookmarkStart w:id="467" w:name="_Toc127151540"/>
      <w:bookmarkStart w:id="468" w:name="_Toc142311042"/>
      <w:bookmarkStart w:id="469" w:name="_Toc226309784"/>
      <w:bookmarkStart w:id="470" w:name="_Toc226965730"/>
      <w:bookmarkStart w:id="471" w:name="_Toc164229235"/>
      <w:bookmarkStart w:id="472" w:name="_Toc265228378"/>
      <w:r>
        <w:rPr>
          <w:rFonts w:ascii="宋体" w:hAnsi="宋体"/>
          <w:sz w:val="24"/>
        </w:rPr>
        <w:t>评标委员会</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评标委员会根据</w:t>
      </w:r>
      <w:r>
        <w:rPr>
          <w:rFonts w:hint="eastAsia" w:ascii="宋体" w:hAnsi="宋体"/>
          <w:sz w:val="24"/>
        </w:rPr>
        <w:t>首都师范大学校内比选采购程序规定和</w:t>
      </w:r>
      <w:r>
        <w:rPr>
          <w:rFonts w:ascii="宋体" w:hAnsi="宋体"/>
          <w:sz w:val="24"/>
        </w:rPr>
        <w:t>本次招标采购项目的特点进行组建，并负责具体评标事务，独立履行职责。</w:t>
      </w:r>
      <w:bookmarkStart w:id="473" w:name="_Toc520356166"/>
    </w:p>
    <w:p>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w:t>
      </w:r>
      <w:r>
        <w:rPr>
          <w:rFonts w:hint="eastAsia" w:ascii="宋体" w:hAnsi="宋体"/>
          <w:sz w:val="24"/>
        </w:rPr>
        <w:t>比选</w:t>
      </w:r>
      <w:r>
        <w:rPr>
          <w:rFonts w:ascii="宋体" w:hAnsi="宋体"/>
          <w:sz w:val="24"/>
        </w:rPr>
        <w:t>采购活动。</w:t>
      </w:r>
      <w:bookmarkEnd w:id="473"/>
      <w:bookmarkStart w:id="474" w:name="_Toc520356169"/>
    </w:p>
    <w:p>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评标程序、评标方法和评标标准</w:t>
      </w:r>
    </w:p>
    <w:p>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见第</w:t>
      </w:r>
      <w:r>
        <w:rPr>
          <w:rFonts w:hint="eastAsia" w:ascii="宋体" w:hAnsi="宋体"/>
          <w:sz w:val="24"/>
        </w:rPr>
        <w:t>三</w:t>
      </w:r>
      <w:r>
        <w:rPr>
          <w:rFonts w:ascii="宋体" w:hAnsi="宋体"/>
          <w:sz w:val="24"/>
        </w:rPr>
        <w:t>章《评</w:t>
      </w:r>
      <w:r>
        <w:rPr>
          <w:rFonts w:hint="eastAsia" w:ascii="宋体" w:hAnsi="宋体"/>
          <w:sz w:val="24"/>
        </w:rPr>
        <w:t>审</w:t>
      </w:r>
      <w:r>
        <w:rPr>
          <w:rFonts w:ascii="宋体" w:hAnsi="宋体"/>
          <w:sz w:val="24"/>
        </w:rPr>
        <w:t>方法</w:t>
      </w:r>
      <w:r>
        <w:rPr>
          <w:rFonts w:hint="eastAsia" w:ascii="宋体" w:hAnsi="宋体"/>
          <w:sz w:val="24"/>
        </w:rPr>
        <w:t>和</w:t>
      </w:r>
      <w:r>
        <w:rPr>
          <w:rFonts w:ascii="宋体" w:hAnsi="宋体"/>
          <w:sz w:val="24"/>
        </w:rPr>
        <w:t>评</w:t>
      </w:r>
      <w:r>
        <w:rPr>
          <w:rFonts w:hint="eastAsia" w:ascii="宋体" w:hAnsi="宋体"/>
          <w:sz w:val="24"/>
        </w:rPr>
        <w:t>审</w:t>
      </w:r>
      <w:r>
        <w:rPr>
          <w:rFonts w:ascii="宋体" w:hAnsi="宋体"/>
          <w:sz w:val="24"/>
        </w:rPr>
        <w:t>程序》。</w:t>
      </w:r>
    </w:p>
    <w:p>
      <w:pPr>
        <w:pStyle w:val="5"/>
        <w:spacing w:before="0" w:line="360" w:lineRule="auto"/>
        <w:rPr>
          <w:rFonts w:ascii="宋体" w:hAnsi="宋体" w:eastAsia="宋体"/>
          <w:sz w:val="28"/>
        </w:rPr>
      </w:pPr>
      <w:bookmarkStart w:id="475" w:name="_Toc226965818"/>
      <w:bookmarkStart w:id="476" w:name="_Toc226965735"/>
      <w:bookmarkStart w:id="477" w:name="_Toc151193933"/>
      <w:bookmarkStart w:id="478" w:name="_Toc226309789"/>
      <w:bookmarkStart w:id="479" w:name="_Toc150774645"/>
      <w:bookmarkStart w:id="480" w:name="_Toc151190172"/>
      <w:bookmarkStart w:id="481" w:name="_Toc150509296"/>
      <w:bookmarkStart w:id="482" w:name="_Toc264969235"/>
      <w:bookmarkStart w:id="483" w:name="_Toc150774750"/>
      <w:bookmarkStart w:id="484" w:name="_Toc127151545"/>
      <w:bookmarkStart w:id="485" w:name="_Toc305158813"/>
      <w:bookmarkStart w:id="486" w:name="_Toc305158887"/>
      <w:bookmarkStart w:id="487" w:name="_Toc195842910"/>
      <w:bookmarkStart w:id="488" w:name="_Toc142311047"/>
      <w:bookmarkStart w:id="489" w:name="_Toc151193715"/>
      <w:bookmarkStart w:id="490" w:name="_Toc150480783"/>
      <w:bookmarkStart w:id="491" w:name="_Toc226337241"/>
      <w:bookmarkStart w:id="492" w:name="_Toc151193859"/>
      <w:bookmarkStart w:id="493" w:name="_Toc151193787"/>
      <w:bookmarkStart w:id="494" w:name="_Toc265228383"/>
      <w:bookmarkStart w:id="495" w:name="_Toc151193643"/>
      <w:r>
        <w:rPr>
          <w:rFonts w:ascii="宋体" w:hAnsi="宋体" w:eastAsia="宋体"/>
          <w:sz w:val="28"/>
        </w:rPr>
        <w:t xml:space="preserve">六  </w:t>
      </w:r>
      <w:bookmarkEnd w:id="474"/>
      <w:r>
        <w:rPr>
          <w:rFonts w:ascii="宋体" w:hAnsi="宋体" w:eastAsia="宋体"/>
          <w:sz w:val="28"/>
        </w:rPr>
        <w:t>确定</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Start w:id="496" w:name="_Toc305158815"/>
      <w:bookmarkStart w:id="497" w:name="_Toc164229242"/>
      <w:bookmarkStart w:id="498" w:name="_Toc226965820"/>
      <w:bookmarkStart w:id="499" w:name="_Toc150774752"/>
      <w:bookmarkStart w:id="500" w:name="_Toc164608816"/>
      <w:bookmarkStart w:id="501" w:name="_Toc226965737"/>
      <w:bookmarkStart w:id="502" w:name="_Toc265228385"/>
      <w:bookmarkStart w:id="503" w:name="_Toc127151748"/>
      <w:bookmarkStart w:id="504" w:name="_Toc151190174"/>
      <w:bookmarkStart w:id="505" w:name="_Toc151193717"/>
      <w:bookmarkStart w:id="506" w:name="_Toc305158889"/>
      <w:bookmarkStart w:id="507" w:name="_Toc150774647"/>
      <w:bookmarkStart w:id="508" w:name="_Toc226337243"/>
      <w:bookmarkStart w:id="509" w:name="_Toc264969237"/>
      <w:bookmarkStart w:id="510" w:name="_Toc150480785"/>
      <w:bookmarkStart w:id="511" w:name="_Toc151193861"/>
      <w:bookmarkStart w:id="512" w:name="_Toc164351641"/>
      <w:bookmarkStart w:id="513" w:name="_Toc149720840"/>
      <w:bookmarkStart w:id="514" w:name="_Toc226309791"/>
      <w:bookmarkStart w:id="515" w:name="_Toc127161461"/>
      <w:bookmarkStart w:id="516" w:name="_Toc195842912"/>
      <w:bookmarkStart w:id="517" w:name="_Toc151193645"/>
      <w:bookmarkStart w:id="518" w:name="_Toc151193935"/>
      <w:bookmarkStart w:id="519" w:name="_Toc164608661"/>
      <w:bookmarkStart w:id="520" w:name="_Toc142311049"/>
      <w:bookmarkStart w:id="521" w:name="_Toc127151547"/>
      <w:bookmarkStart w:id="522" w:name="_Toc164229388"/>
      <w:bookmarkStart w:id="523" w:name="_Toc151193789"/>
      <w:bookmarkStart w:id="524" w:name="_Toc150509298"/>
      <w:r>
        <w:rPr>
          <w:rFonts w:hint="eastAsia" w:ascii="宋体" w:hAnsi="宋体" w:eastAsia="宋体"/>
          <w:sz w:val="28"/>
        </w:rPr>
        <w:t>成交</w:t>
      </w:r>
    </w:p>
    <w:p>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确定</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Pr>
          <w:rFonts w:hint="eastAsia" w:ascii="宋体" w:hAnsi="宋体"/>
          <w:sz w:val="24"/>
        </w:rPr>
        <w:t>成交人</w:t>
      </w:r>
    </w:p>
    <w:p>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采购人将在评标报告确定的</w:t>
      </w:r>
      <w:r>
        <w:rPr>
          <w:rFonts w:hint="eastAsia" w:ascii="宋体" w:hAnsi="宋体"/>
          <w:sz w:val="24"/>
        </w:rPr>
        <w:t>成交</w:t>
      </w:r>
      <w:r>
        <w:rPr>
          <w:rFonts w:ascii="宋体" w:hAnsi="宋体"/>
          <w:sz w:val="24"/>
        </w:rPr>
        <w:t>候选人名单中按顺序确定</w:t>
      </w:r>
      <w:r>
        <w:rPr>
          <w:rFonts w:hint="eastAsia" w:ascii="宋体" w:hAnsi="宋体"/>
          <w:sz w:val="24"/>
        </w:rPr>
        <w:t>成交人</w:t>
      </w:r>
      <w:r>
        <w:rPr>
          <w:rFonts w:ascii="宋体" w:hAnsi="宋体"/>
          <w:sz w:val="24"/>
        </w:rPr>
        <w:t>，</w:t>
      </w:r>
      <w:r>
        <w:rPr>
          <w:rFonts w:hint="eastAsia" w:ascii="宋体" w:hAnsi="宋体"/>
          <w:sz w:val="24"/>
        </w:rPr>
        <w:t>成交</w:t>
      </w:r>
      <w:r>
        <w:rPr>
          <w:rFonts w:ascii="宋体" w:hAnsi="宋体"/>
          <w:sz w:val="24"/>
        </w:rPr>
        <w:t>候选人并列的，由采购人或者采购人委托评标委员会按照</w:t>
      </w:r>
      <w:r>
        <w:rPr>
          <w:rFonts w:hint="eastAsia" w:ascii="宋体" w:hAnsi="宋体"/>
          <w:sz w:val="24"/>
        </w:rPr>
        <w:t>比选文件</w:t>
      </w:r>
      <w:r>
        <w:rPr>
          <w:rFonts w:ascii="宋体" w:hAnsi="宋体"/>
          <w:sz w:val="24"/>
        </w:rPr>
        <w:t>规定的方式确定</w:t>
      </w:r>
      <w:r>
        <w:rPr>
          <w:rFonts w:hint="eastAsia" w:ascii="宋体" w:hAnsi="宋体"/>
          <w:sz w:val="24"/>
        </w:rPr>
        <w:t>成交人</w:t>
      </w:r>
      <w:r>
        <w:rPr>
          <w:rFonts w:ascii="宋体" w:hAnsi="宋体"/>
          <w:sz w:val="24"/>
        </w:rPr>
        <w:t>；</w:t>
      </w:r>
      <w:r>
        <w:rPr>
          <w:rFonts w:hint="eastAsia" w:ascii="宋体" w:hAnsi="宋体"/>
          <w:sz w:val="24"/>
        </w:rPr>
        <w:t>比选文件</w:t>
      </w:r>
      <w:r>
        <w:rPr>
          <w:rFonts w:ascii="宋体" w:hAnsi="宋体"/>
          <w:sz w:val="24"/>
        </w:rPr>
        <w:t>未规定的，采取随机抽取的方式确定</w:t>
      </w:r>
      <w:r>
        <w:rPr>
          <w:rFonts w:hint="eastAsia" w:ascii="宋体" w:hAnsi="宋体"/>
          <w:sz w:val="24"/>
        </w:rPr>
        <w:t>。</w:t>
      </w:r>
      <w:r>
        <w:rPr>
          <w:rFonts w:ascii="宋体" w:hAnsi="宋体"/>
          <w:sz w:val="24"/>
        </w:rPr>
        <w:t>采购人是否委托评标委员会直接确定</w:t>
      </w:r>
      <w:r>
        <w:rPr>
          <w:rFonts w:hint="eastAsia" w:ascii="宋体" w:hAnsi="宋体"/>
          <w:sz w:val="24"/>
        </w:rPr>
        <w:t>成交人</w:t>
      </w:r>
      <w:r>
        <w:rPr>
          <w:rFonts w:ascii="宋体" w:hAnsi="宋体"/>
          <w:sz w:val="24"/>
        </w:rPr>
        <w:t>，见《</w:t>
      </w:r>
      <w:r>
        <w:rPr>
          <w:rFonts w:hint="eastAsia" w:ascii="宋体" w:hAnsi="宋体"/>
          <w:sz w:val="24"/>
        </w:rPr>
        <w:t>供应商</w:t>
      </w:r>
      <w:r>
        <w:rPr>
          <w:rFonts w:ascii="宋体" w:hAnsi="宋体"/>
          <w:sz w:val="24"/>
        </w:rPr>
        <w:t>须知资料表》。</w:t>
      </w:r>
      <w:r>
        <w:rPr>
          <w:rFonts w:hint="eastAsia" w:ascii="宋体" w:hAnsi="宋体"/>
          <w:sz w:val="24"/>
        </w:rPr>
        <w:t>成交</w:t>
      </w:r>
      <w:r>
        <w:rPr>
          <w:rFonts w:ascii="宋体" w:hAnsi="宋体"/>
          <w:sz w:val="24"/>
        </w:rPr>
        <w:t>候选人并列的，按照《</w:t>
      </w:r>
      <w:r>
        <w:rPr>
          <w:rFonts w:hint="eastAsia" w:ascii="宋体" w:hAnsi="宋体"/>
          <w:sz w:val="24"/>
        </w:rPr>
        <w:t>供应商</w:t>
      </w:r>
      <w:r>
        <w:rPr>
          <w:rFonts w:ascii="宋体" w:hAnsi="宋体"/>
          <w:sz w:val="24"/>
        </w:rPr>
        <w:t>须知资料表》要求确定</w:t>
      </w:r>
      <w:r>
        <w:rPr>
          <w:rFonts w:hint="eastAsia" w:ascii="宋体" w:hAnsi="宋体"/>
          <w:sz w:val="24"/>
        </w:rPr>
        <w:t>成交人</w:t>
      </w:r>
      <w:r>
        <w:rPr>
          <w:rFonts w:ascii="宋体" w:hAnsi="宋体"/>
          <w:sz w:val="24"/>
        </w:rPr>
        <w:t>。</w:t>
      </w:r>
    </w:p>
    <w:p>
      <w:pPr>
        <w:numPr>
          <w:ilvl w:val="0"/>
          <w:numId w:val="8"/>
        </w:numPr>
        <w:tabs>
          <w:tab w:val="left" w:pos="360"/>
        </w:tabs>
        <w:snapToGrid w:val="0"/>
        <w:spacing w:line="360" w:lineRule="auto"/>
        <w:ind w:left="357" w:hanging="357"/>
        <w:outlineLvl w:val="1"/>
        <w:rPr>
          <w:rFonts w:ascii="宋体" w:hAnsi="宋体"/>
          <w:sz w:val="24"/>
        </w:rPr>
      </w:pPr>
      <w:bookmarkStart w:id="525" w:name="_Toc305158817"/>
      <w:bookmarkStart w:id="526" w:name="_Toc305158891"/>
      <w:bookmarkStart w:id="527" w:name="_Toc151193791"/>
      <w:bookmarkStart w:id="528" w:name="_Toc127151750"/>
      <w:bookmarkStart w:id="529" w:name="_Toc151193863"/>
      <w:bookmarkStart w:id="530" w:name="_Toc226337245"/>
      <w:bookmarkStart w:id="531" w:name="_Toc164608663"/>
      <w:bookmarkStart w:id="532" w:name="_Toc151190176"/>
      <w:bookmarkStart w:id="533" w:name="_Toc226965739"/>
      <w:bookmarkStart w:id="534" w:name="_Toc164608818"/>
      <w:bookmarkStart w:id="535" w:name="_Toc151193647"/>
      <w:bookmarkStart w:id="536" w:name="_Toc149720842"/>
      <w:bookmarkStart w:id="537" w:name="_Toc264969239"/>
      <w:bookmarkStart w:id="538" w:name="_Toc164351643"/>
      <w:bookmarkStart w:id="539" w:name="_Toc265228387"/>
      <w:bookmarkStart w:id="540" w:name="_Toc195842914"/>
      <w:bookmarkStart w:id="541" w:name="_Toc164229390"/>
      <w:bookmarkStart w:id="542" w:name="_Toc150774754"/>
      <w:bookmarkStart w:id="543" w:name="_Toc226309793"/>
      <w:bookmarkStart w:id="544" w:name="_Toc150480787"/>
      <w:bookmarkStart w:id="545" w:name="_Toc150509300"/>
      <w:bookmarkStart w:id="546" w:name="_Toc150774649"/>
      <w:bookmarkStart w:id="547" w:name="_Toc151193719"/>
      <w:bookmarkStart w:id="548" w:name="_Toc127151549"/>
      <w:bookmarkStart w:id="549" w:name="_Toc142311051"/>
      <w:bookmarkStart w:id="550" w:name="_Toc127161463"/>
      <w:bookmarkStart w:id="551" w:name="_Toc226965822"/>
      <w:bookmarkStart w:id="552" w:name="_Toc151193937"/>
      <w:bookmarkStart w:id="553" w:name="_Toc164229244"/>
      <w:bookmarkStart w:id="554" w:name="_Ref467307090"/>
      <w:bookmarkStart w:id="555" w:name="_Ref467306425"/>
      <w:bookmarkStart w:id="556" w:name="_Toc520356176"/>
      <w:r>
        <w:rPr>
          <w:rFonts w:hint="eastAsia" w:ascii="宋体" w:hAnsi="宋体"/>
          <w:sz w:val="24"/>
        </w:rPr>
        <w:t>成交</w:t>
      </w:r>
      <w:r>
        <w:rPr>
          <w:rFonts w:ascii="宋体" w:hAnsi="宋体"/>
          <w:sz w:val="24"/>
        </w:rPr>
        <w:t>公告与</w:t>
      </w:r>
      <w:r>
        <w:rPr>
          <w:rFonts w:hint="eastAsia" w:ascii="宋体" w:hAnsi="宋体"/>
          <w:sz w:val="24"/>
        </w:rPr>
        <w:t>成交</w:t>
      </w:r>
      <w:r>
        <w:rPr>
          <w:rFonts w:ascii="宋体" w:hAnsi="宋体"/>
          <w:sz w:val="24"/>
        </w:rPr>
        <w:t>通知书</w:t>
      </w:r>
      <w:bookmarkEnd w:id="525"/>
      <w:bookmarkEnd w:id="526"/>
    </w:p>
    <w:p>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采购人或采购代理机构自</w:t>
      </w:r>
      <w:r>
        <w:rPr>
          <w:rFonts w:hint="eastAsia" w:ascii="宋体" w:hAnsi="宋体"/>
          <w:sz w:val="24"/>
        </w:rPr>
        <w:t>成交人</w:t>
      </w:r>
      <w:r>
        <w:rPr>
          <w:rFonts w:ascii="宋体" w:hAnsi="宋体"/>
          <w:sz w:val="24"/>
        </w:rPr>
        <w:t>确定之日起2个工作日内，</w:t>
      </w:r>
      <w:r>
        <w:rPr>
          <w:rFonts w:ascii="宋体" w:hAnsi="宋体"/>
          <w:color w:val="000000"/>
          <w:kern w:val="0"/>
          <w:sz w:val="24"/>
        </w:rPr>
        <w:t>在</w:t>
      </w:r>
      <w:r>
        <w:rPr>
          <w:rFonts w:hint="eastAsia" w:ascii="宋体" w:hAnsi="宋体"/>
          <w:color w:val="000000"/>
          <w:kern w:val="0"/>
          <w:sz w:val="24"/>
        </w:rPr>
        <w:t>首都师范大学校园网</w:t>
      </w:r>
      <w:r>
        <w:rPr>
          <w:rFonts w:ascii="宋体" w:hAnsi="宋体"/>
          <w:sz w:val="24"/>
        </w:rPr>
        <w:t>发布</w:t>
      </w:r>
      <w:r>
        <w:rPr>
          <w:rFonts w:hint="eastAsia" w:ascii="宋体" w:hAnsi="宋体"/>
          <w:color w:val="000000"/>
          <w:kern w:val="0"/>
          <w:sz w:val="24"/>
        </w:rPr>
        <w:t>成交</w:t>
      </w:r>
      <w:r>
        <w:rPr>
          <w:rFonts w:ascii="宋体" w:hAnsi="宋体"/>
          <w:color w:val="000000"/>
          <w:kern w:val="0"/>
          <w:sz w:val="24"/>
        </w:rPr>
        <w:t>结果</w:t>
      </w:r>
      <w:r>
        <w:rPr>
          <w:rFonts w:ascii="宋体" w:hAnsi="宋体"/>
          <w:sz w:val="24"/>
        </w:rPr>
        <w:t>，</w:t>
      </w:r>
      <w:r>
        <w:rPr>
          <w:rFonts w:hint="eastAsia" w:ascii="宋体" w:hAnsi="宋体"/>
          <w:sz w:val="24"/>
        </w:rPr>
        <w:t>同时向成交人发出成交通知书，向未成交的供应商发出落标通知书，成交</w:t>
      </w:r>
      <w:r>
        <w:rPr>
          <w:rFonts w:ascii="宋体" w:hAnsi="宋体"/>
          <w:sz w:val="24"/>
        </w:rPr>
        <w:t>公告期限为1个工作日。</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成交</w:t>
      </w:r>
      <w:r>
        <w:rPr>
          <w:rFonts w:ascii="宋体" w:hAnsi="宋体"/>
          <w:sz w:val="24"/>
        </w:rPr>
        <w:t>通知书对采购人和</w:t>
      </w:r>
      <w:r>
        <w:rPr>
          <w:rFonts w:hint="eastAsia" w:ascii="宋体" w:hAnsi="宋体"/>
          <w:sz w:val="24"/>
        </w:rPr>
        <w:t>成交</w:t>
      </w:r>
      <w:r>
        <w:rPr>
          <w:rFonts w:ascii="宋体" w:hAnsi="宋体"/>
          <w:sz w:val="24"/>
        </w:rPr>
        <w:t>供应商均具有法律效力。</w:t>
      </w:r>
      <w:r>
        <w:rPr>
          <w:rFonts w:hint="eastAsia" w:ascii="宋体" w:hAnsi="宋体"/>
          <w:sz w:val="24"/>
        </w:rPr>
        <w:t>成交</w:t>
      </w:r>
      <w:r>
        <w:rPr>
          <w:rFonts w:ascii="宋体" w:hAnsi="宋体"/>
          <w:sz w:val="24"/>
        </w:rPr>
        <w:t>通知书发出后，采购人改变</w:t>
      </w:r>
      <w:r>
        <w:rPr>
          <w:rFonts w:hint="eastAsia" w:ascii="宋体" w:hAnsi="宋体"/>
          <w:sz w:val="24"/>
        </w:rPr>
        <w:t>成交</w:t>
      </w:r>
      <w:r>
        <w:rPr>
          <w:rFonts w:ascii="宋体" w:hAnsi="宋体"/>
          <w:sz w:val="24"/>
        </w:rPr>
        <w:t>结果的，或者</w:t>
      </w:r>
      <w:r>
        <w:rPr>
          <w:rFonts w:hint="eastAsia" w:ascii="宋体" w:hAnsi="宋体"/>
          <w:sz w:val="24"/>
        </w:rPr>
        <w:t>成交</w:t>
      </w:r>
      <w:r>
        <w:rPr>
          <w:rFonts w:ascii="宋体" w:hAnsi="宋体"/>
          <w:sz w:val="24"/>
        </w:rPr>
        <w:t>供应商放弃</w:t>
      </w:r>
      <w:r>
        <w:rPr>
          <w:rFonts w:hint="eastAsia" w:ascii="宋体" w:hAnsi="宋体"/>
          <w:sz w:val="24"/>
        </w:rPr>
        <w:t>成交</w:t>
      </w:r>
      <w:r>
        <w:rPr>
          <w:rFonts w:ascii="宋体" w:hAnsi="宋体"/>
          <w:sz w:val="24"/>
        </w:rPr>
        <w:t>项目的，应当依法承担法律责任。</w:t>
      </w:r>
    </w:p>
    <w:p>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废标</w:t>
      </w:r>
    </w:p>
    <w:p>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在招标采购中，出现下列情形之一的，应予废标：</w:t>
      </w:r>
    </w:p>
    <w:p>
      <w:pPr>
        <w:numPr>
          <w:ilvl w:val="2"/>
          <w:numId w:val="8"/>
        </w:numPr>
        <w:snapToGrid w:val="0"/>
        <w:spacing w:line="360" w:lineRule="auto"/>
        <w:rPr>
          <w:rFonts w:ascii="宋体" w:hAnsi="宋体"/>
          <w:sz w:val="24"/>
        </w:rPr>
      </w:pPr>
      <w:r>
        <w:rPr>
          <w:rFonts w:ascii="宋体" w:hAnsi="宋体"/>
          <w:sz w:val="24"/>
        </w:rPr>
        <w:t>符合专业条件的供应商或者对</w:t>
      </w:r>
      <w:r>
        <w:rPr>
          <w:rFonts w:hint="eastAsia" w:ascii="宋体" w:hAnsi="宋体"/>
          <w:sz w:val="24"/>
        </w:rPr>
        <w:t>比选文件</w:t>
      </w:r>
      <w:r>
        <w:rPr>
          <w:rFonts w:ascii="宋体" w:hAnsi="宋体"/>
          <w:sz w:val="24"/>
        </w:rPr>
        <w:t>作实质响应的供应商不足三家的；</w:t>
      </w:r>
    </w:p>
    <w:p>
      <w:pPr>
        <w:numPr>
          <w:ilvl w:val="2"/>
          <w:numId w:val="8"/>
        </w:numPr>
        <w:snapToGrid w:val="0"/>
        <w:spacing w:line="360" w:lineRule="auto"/>
        <w:rPr>
          <w:rFonts w:ascii="宋体" w:hAnsi="宋体"/>
          <w:sz w:val="24"/>
        </w:rPr>
      </w:pPr>
      <w:r>
        <w:rPr>
          <w:rFonts w:ascii="宋体" w:hAnsi="宋体"/>
          <w:sz w:val="24"/>
        </w:rPr>
        <w:t>出现影响采购公正的违法、违规行为的；</w:t>
      </w:r>
    </w:p>
    <w:p>
      <w:pPr>
        <w:numPr>
          <w:ilvl w:val="2"/>
          <w:numId w:val="8"/>
        </w:numPr>
        <w:snapToGrid w:val="0"/>
        <w:spacing w:line="360" w:lineRule="auto"/>
        <w:rPr>
          <w:rFonts w:ascii="宋体" w:hAnsi="宋体"/>
          <w:sz w:val="24"/>
        </w:rPr>
      </w:pPr>
      <w:r>
        <w:rPr>
          <w:rFonts w:hint="eastAsia" w:ascii="宋体" w:hAnsi="宋体"/>
          <w:sz w:val="24"/>
        </w:rPr>
        <w:t>供应商</w:t>
      </w:r>
      <w:r>
        <w:rPr>
          <w:rFonts w:ascii="宋体" w:hAnsi="宋体"/>
          <w:sz w:val="24"/>
        </w:rPr>
        <w:t>的报价均超过了采购预算</w:t>
      </w:r>
      <w:r>
        <w:rPr>
          <w:rFonts w:hint="eastAsia" w:ascii="宋体" w:hAnsi="宋体"/>
          <w:sz w:val="24"/>
        </w:rPr>
        <w:t>或最高限价</w:t>
      </w:r>
      <w:r>
        <w:rPr>
          <w:rFonts w:ascii="宋体" w:hAnsi="宋体"/>
          <w:sz w:val="24"/>
        </w:rPr>
        <w:t>，采购人不能支付的；</w:t>
      </w:r>
    </w:p>
    <w:p>
      <w:pPr>
        <w:numPr>
          <w:ilvl w:val="2"/>
          <w:numId w:val="8"/>
        </w:numPr>
        <w:snapToGrid w:val="0"/>
        <w:spacing w:line="360" w:lineRule="auto"/>
        <w:rPr>
          <w:rFonts w:ascii="宋体" w:hAnsi="宋体"/>
          <w:sz w:val="24"/>
        </w:rPr>
      </w:pPr>
      <w:r>
        <w:rPr>
          <w:rFonts w:ascii="宋体" w:hAnsi="宋体"/>
          <w:sz w:val="24"/>
        </w:rPr>
        <w:t>因重大变故，采购任务取消的。</w:t>
      </w:r>
    </w:p>
    <w:p>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废标后，采购人将废标理由通知所有</w:t>
      </w:r>
      <w:r>
        <w:rPr>
          <w:rFonts w:hint="eastAsia" w:ascii="宋体" w:hAnsi="宋体"/>
          <w:sz w:val="24"/>
        </w:rPr>
        <w:t>供应商</w:t>
      </w:r>
      <w:r>
        <w:rPr>
          <w:rFonts w:ascii="宋体" w:hAnsi="宋体"/>
          <w:sz w:val="24"/>
        </w:rPr>
        <w:t>。</w:t>
      </w:r>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Pr>
        <w:numPr>
          <w:ilvl w:val="0"/>
          <w:numId w:val="8"/>
        </w:numPr>
        <w:tabs>
          <w:tab w:val="left" w:pos="360"/>
        </w:tabs>
        <w:snapToGrid w:val="0"/>
        <w:spacing w:line="360" w:lineRule="auto"/>
        <w:ind w:left="357" w:hanging="357"/>
        <w:outlineLvl w:val="1"/>
        <w:rPr>
          <w:rFonts w:ascii="宋体" w:hAnsi="宋体"/>
          <w:sz w:val="24"/>
        </w:rPr>
      </w:pPr>
      <w:bookmarkStart w:id="557" w:name="_Toc265228388"/>
      <w:bookmarkStart w:id="558" w:name="_Toc195842915"/>
      <w:bookmarkStart w:id="559" w:name="_Ref467306978"/>
      <w:bookmarkStart w:id="560" w:name="_Toc164608819"/>
      <w:bookmarkStart w:id="561" w:name="_Toc151193792"/>
      <w:bookmarkStart w:id="562" w:name="_Toc127151550"/>
      <w:bookmarkStart w:id="563" w:name="_Toc142311052"/>
      <w:bookmarkStart w:id="564" w:name="_Toc127161464"/>
      <w:bookmarkStart w:id="565" w:name="_Toc149720843"/>
      <w:bookmarkStart w:id="566" w:name="_Toc151193864"/>
      <w:bookmarkStart w:id="567" w:name="_Toc151190177"/>
      <w:bookmarkStart w:id="568" w:name="_Ref467306377"/>
      <w:bookmarkStart w:id="569" w:name="_Ref467307204"/>
      <w:bookmarkStart w:id="570" w:name="_Toc226965823"/>
      <w:bookmarkStart w:id="571" w:name="_Toc150509301"/>
      <w:bookmarkStart w:id="572" w:name="_Toc226965740"/>
      <w:bookmarkStart w:id="573" w:name="_Toc164229391"/>
      <w:bookmarkStart w:id="574" w:name="_Toc164351644"/>
      <w:bookmarkStart w:id="575" w:name="_Toc164229245"/>
      <w:bookmarkStart w:id="576" w:name="_Toc305158892"/>
      <w:bookmarkStart w:id="577" w:name="_Toc150480788"/>
      <w:bookmarkStart w:id="578" w:name="_Toc520356175"/>
      <w:bookmarkStart w:id="579" w:name="_Toc164608664"/>
      <w:bookmarkStart w:id="580" w:name="_Toc151193938"/>
      <w:bookmarkStart w:id="581" w:name="_Toc226337246"/>
      <w:bookmarkStart w:id="582" w:name="_Toc264969240"/>
      <w:bookmarkStart w:id="583" w:name="_Toc150774650"/>
      <w:bookmarkStart w:id="584" w:name="_Ref467307062"/>
      <w:bookmarkStart w:id="585" w:name="_Toc305158818"/>
      <w:bookmarkStart w:id="586" w:name="_Toc150774755"/>
      <w:bookmarkStart w:id="587" w:name="_Toc226309794"/>
      <w:bookmarkStart w:id="588" w:name="_Toc151193720"/>
      <w:bookmarkStart w:id="589" w:name="_Toc127151751"/>
      <w:bookmarkStart w:id="590" w:name="_Toc151193648"/>
      <w:r>
        <w:rPr>
          <w:rFonts w:ascii="宋体" w:hAnsi="宋体"/>
          <w:sz w:val="24"/>
        </w:rPr>
        <w:t>签订合同</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成交人</w:t>
      </w:r>
      <w:r>
        <w:rPr>
          <w:rFonts w:ascii="宋体" w:hAnsi="宋体"/>
          <w:sz w:val="24"/>
        </w:rPr>
        <w:t>、采购人应当自</w:t>
      </w:r>
      <w:r>
        <w:rPr>
          <w:rFonts w:hint="eastAsia" w:ascii="宋体" w:hAnsi="宋体"/>
          <w:sz w:val="24"/>
        </w:rPr>
        <w:t>成交</w:t>
      </w:r>
      <w:r>
        <w:rPr>
          <w:rFonts w:ascii="宋体" w:hAnsi="宋体"/>
          <w:sz w:val="24"/>
        </w:rPr>
        <w:t>通知书发出之日起30日内，按照</w:t>
      </w:r>
      <w:r>
        <w:rPr>
          <w:rFonts w:hint="eastAsia" w:ascii="宋体" w:hAnsi="宋体"/>
          <w:sz w:val="24"/>
        </w:rPr>
        <w:t>比选文件</w:t>
      </w:r>
      <w:r>
        <w:rPr>
          <w:rFonts w:ascii="宋体" w:hAnsi="宋体"/>
          <w:sz w:val="24"/>
        </w:rPr>
        <w:t>和</w:t>
      </w:r>
      <w:r>
        <w:rPr>
          <w:rFonts w:hint="eastAsia" w:ascii="宋体" w:hAnsi="宋体"/>
          <w:sz w:val="24"/>
        </w:rPr>
        <w:t>成交人响应文件</w:t>
      </w:r>
      <w:r>
        <w:rPr>
          <w:rFonts w:ascii="宋体" w:hAnsi="宋体"/>
          <w:sz w:val="24"/>
        </w:rPr>
        <w:t>的规定签订书面合同。所签订的合同不得对</w:t>
      </w:r>
      <w:r>
        <w:rPr>
          <w:rFonts w:hint="eastAsia" w:ascii="宋体" w:hAnsi="宋体"/>
          <w:sz w:val="24"/>
        </w:rPr>
        <w:t>比选文件</w:t>
      </w:r>
      <w:r>
        <w:rPr>
          <w:rFonts w:ascii="宋体" w:hAnsi="宋体"/>
          <w:sz w:val="24"/>
        </w:rPr>
        <w:t>确定的事项和</w:t>
      </w:r>
      <w:r>
        <w:rPr>
          <w:rFonts w:hint="eastAsia" w:ascii="宋体" w:hAnsi="宋体"/>
          <w:sz w:val="24"/>
        </w:rPr>
        <w:t>成交人响应文件</w:t>
      </w:r>
      <w:r>
        <w:rPr>
          <w:rFonts w:ascii="宋体" w:hAnsi="宋体"/>
          <w:sz w:val="24"/>
        </w:rPr>
        <w:t>作实质性修改。</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成交人拒绝</w:t>
      </w:r>
      <w:r>
        <w:rPr>
          <w:rFonts w:ascii="宋体" w:hAnsi="宋体"/>
          <w:sz w:val="24"/>
        </w:rPr>
        <w:t>与采购人签订合同的，采购人</w:t>
      </w:r>
      <w:r>
        <w:rPr>
          <w:rFonts w:hint="eastAsia" w:ascii="宋体" w:hAnsi="宋体"/>
          <w:sz w:val="24"/>
        </w:rPr>
        <w:t>可以</w:t>
      </w:r>
      <w:r>
        <w:rPr>
          <w:rFonts w:ascii="宋体" w:hAnsi="宋体"/>
          <w:sz w:val="24"/>
        </w:rPr>
        <w:t>按照评</w:t>
      </w:r>
      <w:r>
        <w:rPr>
          <w:rFonts w:hint="eastAsia" w:ascii="宋体" w:hAnsi="宋体"/>
          <w:sz w:val="24"/>
        </w:rPr>
        <w:t>标</w:t>
      </w:r>
      <w:r>
        <w:rPr>
          <w:rFonts w:ascii="宋体" w:hAnsi="宋体"/>
          <w:sz w:val="24"/>
        </w:rPr>
        <w:t>报告推荐的</w:t>
      </w:r>
      <w:r>
        <w:rPr>
          <w:rFonts w:hint="eastAsia" w:ascii="宋体" w:hAnsi="宋体"/>
          <w:sz w:val="24"/>
        </w:rPr>
        <w:t>成交</w:t>
      </w:r>
      <w:r>
        <w:rPr>
          <w:rFonts w:ascii="宋体" w:hAnsi="宋体"/>
          <w:sz w:val="24"/>
        </w:rPr>
        <w:t>候选人名单排序，确定下一候选人为</w:t>
      </w:r>
      <w:r>
        <w:rPr>
          <w:rFonts w:hint="eastAsia" w:ascii="宋体" w:hAnsi="宋体"/>
          <w:sz w:val="24"/>
        </w:rPr>
        <w:t>成交人</w:t>
      </w:r>
      <w:r>
        <w:rPr>
          <w:rFonts w:ascii="宋体" w:hAnsi="宋体"/>
          <w:sz w:val="24"/>
        </w:rPr>
        <w:t>，</w:t>
      </w:r>
      <w:r>
        <w:rPr>
          <w:rFonts w:hint="eastAsia" w:ascii="宋体" w:hAnsi="宋体"/>
          <w:sz w:val="24"/>
        </w:rPr>
        <w:t>也可以</w:t>
      </w:r>
      <w:r>
        <w:rPr>
          <w:rFonts w:ascii="宋体" w:hAnsi="宋体"/>
          <w:sz w:val="24"/>
        </w:rPr>
        <w:t>重新开展政府采购活动。</w:t>
      </w:r>
    </w:p>
    <w:p>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联合体</w:t>
      </w:r>
      <w:r>
        <w:rPr>
          <w:rFonts w:hint="eastAsia" w:ascii="宋体" w:hAnsi="宋体"/>
          <w:sz w:val="24"/>
        </w:rPr>
        <w:t>成交</w:t>
      </w:r>
      <w:r>
        <w:rPr>
          <w:rFonts w:ascii="宋体" w:hAnsi="宋体"/>
          <w:sz w:val="24"/>
        </w:rPr>
        <w:t>的，联合体各方应当共同与采购人签订合同，就</w:t>
      </w:r>
      <w:r>
        <w:rPr>
          <w:rFonts w:hint="eastAsia" w:ascii="宋体" w:hAnsi="宋体"/>
          <w:sz w:val="24"/>
        </w:rPr>
        <w:t>成交</w:t>
      </w:r>
      <w:r>
        <w:rPr>
          <w:rFonts w:ascii="宋体" w:hAnsi="宋体"/>
          <w:sz w:val="24"/>
        </w:rPr>
        <w:t>项目向采购人承担连带责任。</w:t>
      </w:r>
    </w:p>
    <w:p>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政府采购合同不能转包。</w:t>
      </w:r>
    </w:p>
    <w:p>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采购人允许采用分包方式履行合同的，</w:t>
      </w:r>
      <w:r>
        <w:rPr>
          <w:rFonts w:hint="eastAsia" w:ascii="宋体" w:hAnsi="宋体"/>
          <w:sz w:val="24"/>
        </w:rPr>
        <w:t>成交人</w:t>
      </w:r>
      <w:r>
        <w:rPr>
          <w:rFonts w:ascii="宋体" w:hAnsi="宋体"/>
          <w:sz w:val="24"/>
        </w:rPr>
        <w:t>可以依法在</w:t>
      </w:r>
      <w:r>
        <w:rPr>
          <w:rFonts w:hint="eastAsia" w:ascii="宋体" w:hAnsi="宋体"/>
          <w:sz w:val="24"/>
        </w:rPr>
        <w:t>成交</w:t>
      </w:r>
      <w:r>
        <w:rPr>
          <w:rFonts w:ascii="宋体" w:hAnsi="宋体"/>
          <w:sz w:val="24"/>
        </w:rPr>
        <w:t>后将</w:t>
      </w:r>
      <w:r>
        <w:rPr>
          <w:rFonts w:hint="eastAsia" w:ascii="宋体" w:hAnsi="宋体"/>
          <w:sz w:val="24"/>
        </w:rPr>
        <w:t>成交</w:t>
      </w:r>
      <w:r>
        <w:rPr>
          <w:rFonts w:ascii="宋体" w:hAnsi="宋体"/>
          <w:sz w:val="24"/>
        </w:rPr>
        <w:t>项目的非主体、非关键性工作采取分包方式履行合同。本项目的非主体、非关键性工作是否允许分包，见《</w:t>
      </w:r>
      <w:r>
        <w:rPr>
          <w:rFonts w:hint="eastAsia" w:ascii="宋体" w:hAnsi="宋体"/>
          <w:sz w:val="24"/>
        </w:rPr>
        <w:t>供应商</w:t>
      </w:r>
      <w:r>
        <w:rPr>
          <w:rFonts w:ascii="宋体" w:hAnsi="宋体"/>
          <w:sz w:val="24"/>
        </w:rPr>
        <w:t>须知资料表》。政府采购合同分包履行的，应当在</w:t>
      </w:r>
      <w:r>
        <w:rPr>
          <w:rFonts w:hint="eastAsia" w:ascii="宋体" w:hAnsi="宋体"/>
          <w:sz w:val="24"/>
        </w:rPr>
        <w:t>响应文件</w:t>
      </w:r>
      <w:r>
        <w:rPr>
          <w:rFonts w:ascii="宋体" w:hAnsi="宋体"/>
          <w:sz w:val="24"/>
        </w:rPr>
        <w:t>中载明分包承担主体，分包承担主体应当具备相应资质条件且不得再次分包</w:t>
      </w:r>
      <w:r>
        <w:rPr>
          <w:rFonts w:ascii="宋体" w:hAnsi="宋体"/>
          <w:b/>
          <w:sz w:val="24"/>
        </w:rPr>
        <w:t>，</w:t>
      </w:r>
      <w:r>
        <w:rPr>
          <w:rFonts w:ascii="宋体" w:hAnsi="宋体"/>
          <w:sz w:val="24"/>
        </w:rPr>
        <w:t>否则</w:t>
      </w:r>
      <w:r>
        <w:rPr>
          <w:rFonts w:hint="eastAsia" w:ascii="宋体" w:hAnsi="宋体"/>
          <w:b/>
          <w:sz w:val="24"/>
        </w:rPr>
        <w:t>响应</w:t>
      </w:r>
      <w:r>
        <w:rPr>
          <w:rFonts w:ascii="宋体" w:hAnsi="宋体"/>
          <w:b/>
          <w:sz w:val="24"/>
        </w:rPr>
        <w:t>无效</w:t>
      </w:r>
      <w:r>
        <w:rPr>
          <w:rFonts w:ascii="宋体" w:hAnsi="宋体"/>
          <w:sz w:val="24"/>
        </w:rPr>
        <w:t>。</w:t>
      </w:r>
      <w:r>
        <w:rPr>
          <w:rFonts w:hint="eastAsia" w:ascii="宋体" w:hAnsi="宋体"/>
          <w:sz w:val="24"/>
        </w:rPr>
        <w:t>成交人</w:t>
      </w:r>
      <w:r>
        <w:rPr>
          <w:rFonts w:ascii="宋体" w:hAnsi="宋体"/>
          <w:sz w:val="24"/>
        </w:rPr>
        <w:t>就采购项目和分包项目向采购人负责，分包供应商就分包项目承担责任。</w:t>
      </w:r>
    </w:p>
    <w:bookmarkEnd w:id="554"/>
    <w:bookmarkEnd w:id="555"/>
    <w:bookmarkEnd w:id="556"/>
    <w:p>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询问</w:t>
      </w:r>
    </w:p>
    <w:p>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询问</w:t>
      </w:r>
    </w:p>
    <w:p>
      <w:pPr>
        <w:numPr>
          <w:ilvl w:val="2"/>
          <w:numId w:val="8"/>
        </w:numPr>
        <w:snapToGrid w:val="0"/>
        <w:spacing w:line="360" w:lineRule="auto"/>
        <w:rPr>
          <w:rFonts w:ascii="宋体" w:hAnsi="宋体"/>
          <w:sz w:val="24"/>
        </w:rPr>
      </w:pPr>
      <w:r>
        <w:rPr>
          <w:rFonts w:hint="eastAsia" w:ascii="宋体" w:hAnsi="宋体"/>
          <w:sz w:val="24"/>
        </w:rPr>
        <w:t>供应商</w:t>
      </w:r>
      <w:r>
        <w:rPr>
          <w:rFonts w:ascii="宋体" w:hAnsi="宋体"/>
          <w:sz w:val="24"/>
        </w:rPr>
        <w:t>对政府采购活动事项有疑问的，可依法提出询问，并按《</w:t>
      </w:r>
      <w:r>
        <w:rPr>
          <w:rFonts w:hint="eastAsia" w:ascii="宋体" w:hAnsi="宋体"/>
          <w:sz w:val="24"/>
        </w:rPr>
        <w:t>供应商</w:t>
      </w:r>
      <w:r>
        <w:rPr>
          <w:rFonts w:ascii="宋体" w:hAnsi="宋体"/>
          <w:sz w:val="24"/>
        </w:rPr>
        <w:t>须知资料表》载明的形式送达采购人或采购代理机构。</w:t>
      </w:r>
    </w:p>
    <w:p>
      <w:pPr>
        <w:numPr>
          <w:ilvl w:val="2"/>
          <w:numId w:val="8"/>
        </w:numPr>
        <w:snapToGrid w:val="0"/>
        <w:spacing w:line="360" w:lineRule="auto"/>
        <w:rPr>
          <w:rFonts w:ascii="宋体" w:hAnsi="宋体"/>
          <w:sz w:val="24"/>
        </w:rPr>
      </w:pPr>
      <w:r>
        <w:rPr>
          <w:rFonts w:ascii="宋体" w:hAnsi="宋体"/>
          <w:sz w:val="24"/>
        </w:rPr>
        <w:t>采购人或采购代理机构对供应商依法提出的询问，在3个工作日内作出答复，但答复的内容不得涉及商业秘密。</w:t>
      </w:r>
    </w:p>
    <w:p>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接收询问的联系部门、联系电话和通讯地址见《</w:t>
      </w:r>
      <w:r>
        <w:rPr>
          <w:rFonts w:hint="eastAsia" w:ascii="宋体" w:hAnsi="宋体"/>
          <w:sz w:val="24"/>
        </w:rPr>
        <w:t>供应商</w:t>
      </w:r>
      <w:r>
        <w:rPr>
          <w:rFonts w:ascii="宋体" w:hAnsi="宋体"/>
          <w:sz w:val="24"/>
        </w:rPr>
        <w:t>须知资料表》</w:t>
      </w:r>
      <w:r>
        <w:rPr>
          <w:rFonts w:hint="eastAsia" w:ascii="宋体" w:hAnsi="宋体"/>
          <w:sz w:val="24"/>
        </w:rPr>
        <w:t>。</w:t>
      </w:r>
    </w:p>
    <w:p>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代理费</w:t>
      </w:r>
    </w:p>
    <w:p>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收费对象、收费标准及缴纳时间见《</w:t>
      </w:r>
      <w:r>
        <w:rPr>
          <w:rFonts w:hint="eastAsia" w:ascii="宋体" w:hAnsi="宋体"/>
          <w:sz w:val="24"/>
        </w:rPr>
        <w:t>供应商</w:t>
      </w:r>
      <w:r>
        <w:rPr>
          <w:rFonts w:ascii="宋体" w:hAnsi="宋体"/>
          <w:sz w:val="24"/>
        </w:rPr>
        <w:t>须知资料表》。由</w:t>
      </w:r>
      <w:r>
        <w:rPr>
          <w:rFonts w:hint="eastAsia" w:ascii="宋体" w:hAnsi="宋体"/>
          <w:sz w:val="24"/>
        </w:rPr>
        <w:t>成交人</w:t>
      </w:r>
      <w:r>
        <w:rPr>
          <w:rFonts w:ascii="宋体" w:hAnsi="宋体"/>
          <w:sz w:val="24"/>
        </w:rPr>
        <w:t>支付的，</w:t>
      </w:r>
      <w:r>
        <w:rPr>
          <w:rFonts w:hint="eastAsia" w:ascii="宋体" w:hAnsi="宋体"/>
          <w:sz w:val="24"/>
        </w:rPr>
        <w:t>成交人</w:t>
      </w:r>
      <w:r>
        <w:rPr>
          <w:rFonts w:ascii="宋体" w:hAnsi="宋体"/>
          <w:sz w:val="24"/>
        </w:rPr>
        <w:t>须一次性向采购代理机构缴纳代理费，</w:t>
      </w:r>
      <w:r>
        <w:rPr>
          <w:rFonts w:hint="eastAsia" w:ascii="宋体" w:hAnsi="宋体"/>
          <w:sz w:val="24"/>
        </w:rPr>
        <w:t>响应</w:t>
      </w:r>
      <w:r>
        <w:rPr>
          <w:rFonts w:ascii="宋体" w:hAnsi="宋体"/>
          <w:sz w:val="24"/>
        </w:rPr>
        <w:t>报价应包含代理费用。</w:t>
      </w:r>
    </w:p>
    <w:p>
      <w:pPr>
        <w:spacing w:line="360" w:lineRule="auto"/>
        <w:jc w:val="center"/>
        <w:outlineLvl w:val="0"/>
        <w:rPr>
          <w:b/>
          <w:sz w:val="36"/>
          <w:szCs w:val="36"/>
        </w:rPr>
      </w:pPr>
      <w:bookmarkStart w:id="591" w:name="_Toc264969244"/>
      <w:bookmarkStart w:id="592" w:name="_Toc150774759"/>
      <w:bookmarkStart w:id="593" w:name="_Toc353873934"/>
      <w:bookmarkStart w:id="594" w:name="_Toc265228392"/>
      <w:bookmarkStart w:id="595" w:name="_Toc127151554"/>
      <w:bookmarkStart w:id="596" w:name="_Toc353873664"/>
      <w:bookmarkStart w:id="597" w:name="_Toc226965827"/>
      <w:bookmarkStart w:id="598" w:name="_Toc226337250"/>
      <w:bookmarkStart w:id="599" w:name="_Toc150480792"/>
      <w:bookmarkStart w:id="600" w:name="_Toc305158896"/>
      <w:bookmarkStart w:id="601" w:name="_Toc142311056"/>
      <w:bookmarkStart w:id="602" w:name="_Toc353825544"/>
      <w:bookmarkStart w:id="603" w:name="_Toc305158822"/>
      <w:r>
        <w:rPr>
          <w:rFonts w:ascii="宋体" w:hAnsi="宋体"/>
          <w:sz w:val="24"/>
        </w:rPr>
        <w:br w:type="page"/>
      </w:r>
      <w:bookmarkEnd w:id="591"/>
      <w:bookmarkEnd w:id="592"/>
      <w:bookmarkEnd w:id="593"/>
      <w:bookmarkEnd w:id="594"/>
      <w:bookmarkEnd w:id="595"/>
      <w:bookmarkEnd w:id="596"/>
      <w:bookmarkEnd w:id="597"/>
      <w:bookmarkEnd w:id="598"/>
      <w:bookmarkEnd w:id="599"/>
      <w:bookmarkEnd w:id="600"/>
      <w:bookmarkEnd w:id="601"/>
      <w:bookmarkEnd w:id="602"/>
      <w:bookmarkEnd w:id="603"/>
      <w:bookmarkStart w:id="604" w:name="_Toc19436"/>
      <w:bookmarkStart w:id="605" w:name="_Toc31330"/>
      <w:bookmarkStart w:id="606" w:name="_Toc99301422"/>
      <w:bookmarkStart w:id="607" w:name="_Toc487900382"/>
      <w:r>
        <w:rPr>
          <w:b/>
          <w:sz w:val="36"/>
          <w:szCs w:val="36"/>
        </w:rPr>
        <w:t>第三章   评审方法和评审标准</w:t>
      </w:r>
      <w:bookmarkEnd w:id="604"/>
      <w:bookmarkEnd w:id="605"/>
    </w:p>
    <w:p>
      <w:pPr>
        <w:pStyle w:val="5"/>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pPr>
        <w:tabs>
          <w:tab w:val="left" w:pos="1080"/>
        </w:tabs>
        <w:snapToGrid w:val="0"/>
        <w:jc w:val="left"/>
        <w:rPr>
          <w:b/>
          <w:sz w:val="24"/>
        </w:rPr>
      </w:pPr>
      <w:r>
        <w:rPr>
          <w:b/>
          <w:sz w:val="24"/>
        </w:rPr>
        <w:tab/>
      </w:r>
    </w:p>
    <w:p>
      <w:pPr>
        <w:numPr>
          <w:ilvl w:val="0"/>
          <w:numId w:val="10"/>
        </w:numPr>
        <w:tabs>
          <w:tab w:val="left" w:pos="360"/>
        </w:tabs>
        <w:snapToGrid w:val="0"/>
        <w:spacing w:line="360" w:lineRule="auto"/>
        <w:outlineLvl w:val="1"/>
        <w:rPr>
          <w:sz w:val="24"/>
        </w:rPr>
      </w:pPr>
      <w:r>
        <w:rPr>
          <w:sz w:val="24"/>
        </w:rPr>
        <w:t>响应文件的资格性检查和符合性审查</w:t>
      </w:r>
    </w:p>
    <w:p>
      <w:pPr>
        <w:numPr>
          <w:ilvl w:val="1"/>
          <w:numId w:val="10"/>
        </w:numPr>
        <w:tabs>
          <w:tab w:val="left" w:pos="1080"/>
        </w:tabs>
        <w:snapToGrid w:val="0"/>
        <w:spacing w:line="360" w:lineRule="auto"/>
        <w:ind w:left="1077" w:hanging="720"/>
        <w:rPr>
          <w:sz w:val="24"/>
        </w:rPr>
      </w:pPr>
      <w:r>
        <w:rPr>
          <w:rFonts w:hint="eastAsia"/>
          <w:sz w:val="24"/>
        </w:rPr>
        <w:t>评审</w:t>
      </w:r>
      <w:r>
        <w:rPr>
          <w:sz w:val="24"/>
        </w:rPr>
        <w:t>小组将根据《资格性检查要求》和《符合性审查要求》中规定的内容，对供应商进行检查，并形成检查结果。供应商《响应文件》有任何一项不符合《资格性检查要求》和《符合性审查要求》要求的，视为未实质性响应</w:t>
      </w:r>
      <w:r>
        <w:rPr>
          <w:rFonts w:hint="eastAsia"/>
          <w:sz w:val="24"/>
        </w:rPr>
        <w:t>比选</w:t>
      </w:r>
      <w:r>
        <w:rPr>
          <w:sz w:val="24"/>
        </w:rPr>
        <w:t>文件。未实质性响应</w:t>
      </w:r>
      <w:r>
        <w:rPr>
          <w:rFonts w:hint="eastAsia"/>
          <w:sz w:val="24"/>
        </w:rPr>
        <w:t>比选</w:t>
      </w:r>
      <w:r>
        <w:rPr>
          <w:sz w:val="24"/>
        </w:rPr>
        <w:t>文件的响应文件按</w:t>
      </w:r>
      <w:r>
        <w:rPr>
          <w:b/>
          <w:sz w:val="24"/>
        </w:rPr>
        <w:t>无效响应</w:t>
      </w:r>
      <w:r>
        <w:rPr>
          <w:sz w:val="24"/>
        </w:rPr>
        <w:t>处理。</w:t>
      </w:r>
    </w:p>
    <w:p>
      <w:pPr>
        <w:numPr>
          <w:ilvl w:val="1"/>
          <w:numId w:val="10"/>
        </w:numPr>
        <w:tabs>
          <w:tab w:val="left" w:pos="1080"/>
        </w:tabs>
        <w:snapToGrid w:val="0"/>
        <w:spacing w:line="360" w:lineRule="auto"/>
        <w:ind w:left="1077" w:hanging="720"/>
        <w:rPr>
          <w:sz w:val="24"/>
        </w:rPr>
      </w:pPr>
      <w:r>
        <w:rPr>
          <w:sz w:val="24"/>
        </w:rPr>
        <w:t>《资格性检查要求》中对格式有要求的，除</w:t>
      </w:r>
      <w:r>
        <w:rPr>
          <w:rFonts w:hint="eastAsia"/>
          <w:sz w:val="24"/>
        </w:rPr>
        <w:t>比选</w:t>
      </w:r>
      <w:r>
        <w:rPr>
          <w:sz w:val="24"/>
        </w:rPr>
        <w:t>文件另有规定外，均为“实质性格式”文件。</w:t>
      </w:r>
    </w:p>
    <w:p>
      <w:pPr>
        <w:numPr>
          <w:ilvl w:val="1"/>
          <w:numId w:val="10"/>
        </w:numPr>
        <w:tabs>
          <w:tab w:val="left" w:pos="1080"/>
        </w:tabs>
        <w:snapToGrid w:val="0"/>
        <w:spacing w:line="360" w:lineRule="auto"/>
        <w:ind w:left="1077" w:hanging="720"/>
        <w:rPr>
          <w:sz w:val="24"/>
        </w:rPr>
      </w:pPr>
      <w:r>
        <w:rPr>
          <w:sz w:val="24"/>
        </w:rPr>
        <w:t>《资格性检查要求》见下表：</w:t>
      </w:r>
    </w:p>
    <w:bookmarkEnd w:id="606"/>
    <w:p>
      <w:pPr>
        <w:tabs>
          <w:tab w:val="left" w:pos="360"/>
          <w:tab w:val="left" w:pos="900"/>
        </w:tabs>
        <w:snapToGrid w:val="0"/>
        <w:spacing w:line="360" w:lineRule="auto"/>
        <w:jc w:val="center"/>
        <w:outlineLvl w:val="1"/>
        <w:rPr>
          <w:rFonts w:ascii="宋体" w:hAnsi="宋体"/>
          <w:b/>
          <w:sz w:val="24"/>
        </w:rPr>
      </w:pPr>
      <w:r>
        <w:rPr>
          <w:rFonts w:ascii="宋体" w:hAnsi="宋体"/>
          <w:b/>
          <w:sz w:val="24"/>
        </w:rPr>
        <w:t>二、资格审查要求</w:t>
      </w:r>
    </w:p>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607"/>
    <w:tbl>
      <w:tblPr>
        <w:tblStyle w:val="4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982"/>
        <w:gridCol w:w="4822"/>
        <w:gridCol w:w="1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pPr>
              <w:tabs>
                <w:tab w:val="left" w:pos="1080"/>
              </w:tabs>
              <w:snapToGrid w:val="0"/>
              <w:jc w:val="center"/>
              <w:rPr>
                <w:b/>
                <w:sz w:val="24"/>
              </w:rPr>
            </w:pPr>
            <w:bookmarkStart w:id="608" w:name="_Hlt487972895"/>
            <w:bookmarkEnd w:id="608"/>
            <w:bookmarkStart w:id="609" w:name="_Toc127151779"/>
            <w:bookmarkStart w:id="610" w:name="_Toc353873940"/>
            <w:bookmarkStart w:id="611" w:name="_Toc226965858"/>
            <w:bookmarkStart w:id="612" w:name="_Toc127161490"/>
            <w:bookmarkStart w:id="613" w:name="_Toc353825550"/>
            <w:r>
              <w:rPr>
                <w:b/>
                <w:sz w:val="24"/>
              </w:rPr>
              <w:t>序号</w:t>
            </w:r>
          </w:p>
        </w:tc>
        <w:tc>
          <w:tcPr>
            <w:tcW w:w="1067" w:type="pct"/>
            <w:vAlign w:val="center"/>
          </w:tcPr>
          <w:p>
            <w:pPr>
              <w:tabs>
                <w:tab w:val="left" w:pos="1080"/>
              </w:tabs>
              <w:snapToGrid w:val="0"/>
              <w:jc w:val="center"/>
              <w:rPr>
                <w:b/>
                <w:sz w:val="24"/>
              </w:rPr>
            </w:pPr>
            <w:r>
              <w:rPr>
                <w:b/>
                <w:sz w:val="24"/>
              </w:rPr>
              <w:t>审查因素</w:t>
            </w:r>
          </w:p>
        </w:tc>
        <w:tc>
          <w:tcPr>
            <w:tcW w:w="2596" w:type="pct"/>
            <w:vAlign w:val="center"/>
          </w:tcPr>
          <w:p>
            <w:pPr>
              <w:tabs>
                <w:tab w:val="left" w:pos="1080"/>
              </w:tabs>
              <w:snapToGrid w:val="0"/>
              <w:jc w:val="center"/>
              <w:rPr>
                <w:b/>
                <w:sz w:val="24"/>
              </w:rPr>
            </w:pPr>
            <w:r>
              <w:rPr>
                <w:b/>
                <w:sz w:val="24"/>
              </w:rPr>
              <w:t>审查内容</w:t>
            </w:r>
          </w:p>
        </w:tc>
        <w:tc>
          <w:tcPr>
            <w:tcW w:w="882" w:type="pct"/>
            <w:vAlign w:val="center"/>
          </w:tcPr>
          <w:p>
            <w:pPr>
              <w:tabs>
                <w:tab w:val="left" w:pos="1080"/>
              </w:tabs>
              <w:snapToGrid w:val="0"/>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w:t>
            </w:r>
          </w:p>
        </w:tc>
        <w:tc>
          <w:tcPr>
            <w:tcW w:w="1067" w:type="pct"/>
            <w:vAlign w:val="center"/>
          </w:tcPr>
          <w:p>
            <w:pPr>
              <w:tabs>
                <w:tab w:val="left" w:pos="1080"/>
              </w:tabs>
              <w:snapToGrid w:val="0"/>
              <w:rPr>
                <w:sz w:val="24"/>
              </w:rPr>
            </w:pPr>
            <w:r>
              <w:rPr>
                <w:sz w:val="24"/>
              </w:rPr>
              <w:t>满足《中华人民共和国政府采购法》第二十二条规定及法律法规的其他规定</w:t>
            </w:r>
          </w:p>
        </w:tc>
        <w:tc>
          <w:tcPr>
            <w:tcW w:w="2596" w:type="pct"/>
            <w:vAlign w:val="center"/>
          </w:tcPr>
          <w:p>
            <w:pPr>
              <w:tabs>
                <w:tab w:val="left" w:pos="1080"/>
              </w:tabs>
              <w:snapToGrid w:val="0"/>
              <w:rPr>
                <w:sz w:val="24"/>
              </w:rPr>
            </w:pPr>
            <w:r>
              <w:rPr>
                <w:sz w:val="24"/>
              </w:rPr>
              <w:t>具体规定见第一章《</w:t>
            </w:r>
            <w:r>
              <w:rPr>
                <w:rFonts w:hint="eastAsia"/>
                <w:sz w:val="24"/>
              </w:rPr>
              <w:t>比选邀请</w:t>
            </w:r>
            <w:r>
              <w:rPr>
                <w:sz w:val="24"/>
              </w:rPr>
              <w:t>》</w:t>
            </w:r>
          </w:p>
        </w:tc>
        <w:tc>
          <w:tcPr>
            <w:tcW w:w="882" w:type="pct"/>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1-1</w:t>
            </w:r>
          </w:p>
        </w:tc>
        <w:tc>
          <w:tcPr>
            <w:tcW w:w="1067" w:type="pct"/>
            <w:vAlign w:val="center"/>
          </w:tcPr>
          <w:p>
            <w:pPr>
              <w:tabs>
                <w:tab w:val="left" w:pos="1080"/>
              </w:tabs>
              <w:snapToGrid w:val="0"/>
              <w:rPr>
                <w:sz w:val="24"/>
              </w:rPr>
            </w:pPr>
            <w:r>
              <w:rPr>
                <w:sz w:val="24"/>
              </w:rPr>
              <w:t>营业执照等证明文件</w:t>
            </w:r>
          </w:p>
        </w:tc>
        <w:tc>
          <w:tcPr>
            <w:tcW w:w="2596" w:type="pct"/>
            <w:vAlign w:val="center"/>
          </w:tcPr>
          <w:p>
            <w:pPr>
              <w:tabs>
                <w:tab w:val="left" w:pos="1080"/>
              </w:tabs>
              <w:snapToGrid w:val="0"/>
              <w:rPr>
                <w:sz w:val="24"/>
              </w:rPr>
            </w:pPr>
            <w:r>
              <w:rPr>
                <w:rFonts w:hint="eastAsia"/>
                <w:sz w:val="24"/>
              </w:rPr>
              <w:t>供应商</w:t>
            </w:r>
            <w:r>
              <w:rPr>
                <w:sz w:val="24"/>
              </w:rPr>
              <w:t>为企业（包括合伙企业）的，应提供有效的“营业执照”；</w:t>
            </w:r>
          </w:p>
          <w:p>
            <w:pPr>
              <w:tabs>
                <w:tab w:val="left" w:pos="1080"/>
              </w:tabs>
              <w:snapToGrid w:val="0"/>
              <w:rPr>
                <w:sz w:val="24"/>
              </w:rPr>
            </w:pPr>
            <w:r>
              <w:rPr>
                <w:rFonts w:hint="eastAsia"/>
                <w:sz w:val="24"/>
              </w:rPr>
              <w:t>供应商</w:t>
            </w:r>
            <w:r>
              <w:rPr>
                <w:sz w:val="24"/>
              </w:rPr>
              <w:t>为事业单位的，应提供有效的“事业单位法人证书”；</w:t>
            </w:r>
          </w:p>
          <w:p>
            <w:pPr>
              <w:tabs>
                <w:tab w:val="left" w:pos="1080"/>
              </w:tabs>
              <w:snapToGrid w:val="0"/>
              <w:rPr>
                <w:sz w:val="24"/>
              </w:rPr>
            </w:pPr>
            <w:r>
              <w:rPr>
                <w:rFonts w:hint="eastAsia"/>
                <w:sz w:val="24"/>
              </w:rPr>
              <w:t>供应商是非企业机构的，应提供有效的“执业许可证”、“登记证书”等证明文件；</w:t>
            </w:r>
          </w:p>
          <w:p>
            <w:pPr>
              <w:tabs>
                <w:tab w:val="left" w:pos="1080"/>
              </w:tabs>
              <w:snapToGrid w:val="0"/>
              <w:rPr>
                <w:sz w:val="24"/>
              </w:rPr>
            </w:pPr>
            <w:r>
              <w:rPr>
                <w:rFonts w:hint="eastAsia"/>
                <w:sz w:val="24"/>
              </w:rPr>
              <w:t>供应商</w:t>
            </w:r>
            <w:r>
              <w:rPr>
                <w:sz w:val="24"/>
              </w:rPr>
              <w:t>是个体工商户的，应提供有效的“个体工商户营业执照”；</w:t>
            </w:r>
          </w:p>
          <w:p>
            <w:pPr>
              <w:tabs>
                <w:tab w:val="left" w:pos="1080"/>
              </w:tabs>
              <w:snapToGrid w:val="0"/>
              <w:rPr>
                <w:sz w:val="24"/>
              </w:rPr>
            </w:pPr>
            <w:r>
              <w:rPr>
                <w:rFonts w:hint="eastAsia"/>
                <w:sz w:val="24"/>
              </w:rPr>
              <w:t>供应商</w:t>
            </w:r>
            <w:r>
              <w:rPr>
                <w:sz w:val="24"/>
              </w:rPr>
              <w:t>是自然人的，应提供有效的自然人身份证明。</w:t>
            </w:r>
          </w:p>
          <w:p>
            <w:pPr>
              <w:tabs>
                <w:tab w:val="left" w:pos="1080"/>
              </w:tabs>
              <w:snapToGrid w:val="0"/>
              <w:rPr>
                <w:color w:val="000000"/>
                <w:sz w:val="24"/>
              </w:rPr>
            </w:pPr>
            <w:r>
              <w:rPr>
                <w:rFonts w:hint="eastAsia"/>
                <w:color w:val="000000"/>
                <w:sz w:val="24"/>
              </w:rPr>
              <w:t>若本项目允许分支机构参加响应，则分支机构参加响应的，此处可提供该分支机构或其所属法人或其他组织的相应证明文件。</w:t>
            </w:r>
          </w:p>
        </w:tc>
        <w:tc>
          <w:tcPr>
            <w:tcW w:w="882" w:type="pct"/>
            <w:vAlign w:val="center"/>
          </w:tcPr>
          <w:p>
            <w:pPr>
              <w:tabs>
                <w:tab w:val="left" w:pos="1080"/>
              </w:tabs>
              <w:snapToGrid w:val="0"/>
              <w:rPr>
                <w:sz w:val="24"/>
              </w:rPr>
            </w:pPr>
            <w:r>
              <w:rPr>
                <w:rFonts w:hint="eastAsia"/>
                <w:sz w:val="24"/>
              </w:rPr>
              <w:t>提供相关证件复印件并加盖公章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1-2</w:t>
            </w:r>
          </w:p>
        </w:tc>
        <w:tc>
          <w:tcPr>
            <w:tcW w:w="1067" w:type="pct"/>
            <w:vAlign w:val="center"/>
          </w:tcPr>
          <w:p>
            <w:pPr>
              <w:tabs>
                <w:tab w:val="left" w:pos="1080"/>
              </w:tabs>
              <w:snapToGrid w:val="0"/>
              <w:rPr>
                <w:sz w:val="24"/>
              </w:rPr>
            </w:pPr>
            <w:r>
              <w:rPr>
                <w:rFonts w:hint="eastAsia"/>
                <w:sz w:val="24"/>
              </w:rPr>
              <w:t>供应商</w:t>
            </w:r>
            <w:r>
              <w:rPr>
                <w:sz w:val="24"/>
              </w:rPr>
              <w:t>资格声明书</w:t>
            </w:r>
          </w:p>
        </w:tc>
        <w:tc>
          <w:tcPr>
            <w:tcW w:w="2596" w:type="pct"/>
            <w:vAlign w:val="center"/>
          </w:tcPr>
          <w:p>
            <w:pPr>
              <w:tabs>
                <w:tab w:val="left" w:pos="1080"/>
              </w:tabs>
              <w:snapToGrid w:val="0"/>
              <w:rPr>
                <w:sz w:val="24"/>
              </w:rPr>
            </w:pPr>
            <w:r>
              <w:rPr>
                <w:sz w:val="24"/>
              </w:rPr>
              <w:t>提供了符合</w:t>
            </w:r>
            <w:r>
              <w:rPr>
                <w:rFonts w:hint="eastAsia"/>
                <w:sz w:val="24"/>
              </w:rPr>
              <w:t>比选文件</w:t>
            </w:r>
            <w:r>
              <w:rPr>
                <w:sz w:val="24"/>
              </w:rPr>
              <w:t>要求的《</w:t>
            </w:r>
            <w:r>
              <w:rPr>
                <w:rFonts w:hint="eastAsia"/>
                <w:sz w:val="24"/>
              </w:rPr>
              <w:t>供应商</w:t>
            </w:r>
            <w:r>
              <w:rPr>
                <w:sz w:val="24"/>
              </w:rPr>
              <w:t>资格声明书》。</w:t>
            </w:r>
          </w:p>
        </w:tc>
        <w:tc>
          <w:tcPr>
            <w:tcW w:w="882" w:type="pct"/>
            <w:vAlign w:val="center"/>
          </w:tcPr>
          <w:p>
            <w:pPr>
              <w:tabs>
                <w:tab w:val="left" w:pos="1080"/>
              </w:tabs>
              <w:snapToGrid w:val="0"/>
              <w:rPr>
                <w:sz w:val="24"/>
              </w:rPr>
            </w:pPr>
            <w:r>
              <w:rPr>
                <w:sz w:val="24"/>
              </w:rPr>
              <w:t>格式见《</w:t>
            </w:r>
            <w:r>
              <w:rPr>
                <w:rFonts w:hint="eastAsia"/>
                <w:sz w:val="24"/>
              </w:rPr>
              <w:t>响应文件</w:t>
            </w:r>
            <w:r>
              <w:rPr>
                <w:sz w:val="24"/>
              </w:rPr>
              <w:t>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rFonts w:hint="eastAsia"/>
                <w:sz w:val="24"/>
              </w:rPr>
              <w:t>1-</w:t>
            </w:r>
            <w:r>
              <w:rPr>
                <w:sz w:val="24"/>
              </w:rPr>
              <w:t>3</w:t>
            </w:r>
          </w:p>
        </w:tc>
        <w:tc>
          <w:tcPr>
            <w:tcW w:w="1067" w:type="pct"/>
            <w:vAlign w:val="center"/>
          </w:tcPr>
          <w:p>
            <w:pPr>
              <w:tabs>
                <w:tab w:val="left" w:pos="1080"/>
              </w:tabs>
              <w:snapToGrid w:val="0"/>
              <w:rPr>
                <w:sz w:val="24"/>
              </w:rPr>
            </w:pPr>
            <w:r>
              <w:rPr>
                <w:rFonts w:hint="eastAsia"/>
                <w:sz w:val="24"/>
              </w:rPr>
              <w:t>供应商</w:t>
            </w:r>
            <w:r>
              <w:rPr>
                <w:sz w:val="24"/>
              </w:rPr>
              <w:t>信用记录</w:t>
            </w:r>
          </w:p>
        </w:tc>
        <w:tc>
          <w:tcPr>
            <w:tcW w:w="2596" w:type="pct"/>
            <w:vAlign w:val="center"/>
          </w:tcPr>
          <w:p>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pPr>
              <w:tabs>
                <w:tab w:val="left" w:pos="900"/>
                <w:tab w:val="left" w:pos="1980"/>
              </w:tabs>
              <w:snapToGrid w:val="0"/>
              <w:rPr>
                <w:sz w:val="24"/>
              </w:rPr>
            </w:pPr>
            <w:r>
              <w:rPr>
                <w:sz w:val="24"/>
              </w:rPr>
              <w:t>截止时点：</w:t>
            </w:r>
            <w:r>
              <w:rPr>
                <w:rFonts w:hint="eastAsia"/>
                <w:sz w:val="24"/>
              </w:rPr>
              <w:t>响应</w:t>
            </w:r>
            <w:r>
              <w:rPr>
                <w:sz w:val="24"/>
              </w:rPr>
              <w:t>截止时间以后、</w:t>
            </w:r>
            <w:r>
              <w:rPr>
                <w:rFonts w:hint="eastAsia"/>
                <w:sz w:val="24"/>
              </w:rPr>
              <w:t>资格审查阶段采购人或</w:t>
            </w:r>
            <w:r>
              <w:rPr>
                <w:sz w:val="24"/>
              </w:rPr>
              <w:t>采购代理机构的实际查询时间；</w:t>
            </w:r>
          </w:p>
          <w:p>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pPr>
              <w:tabs>
                <w:tab w:val="left" w:pos="1080"/>
              </w:tabs>
              <w:snapToGrid w:val="0"/>
              <w:rPr>
                <w:sz w:val="24"/>
              </w:rPr>
            </w:pPr>
            <w:r>
              <w:rPr>
                <w:sz w:val="24"/>
              </w:rPr>
              <w:t>信用信息的使用原则：经认定的被列入失信被执行人、重大税收违法案件当事人名单、政府采购严重违法失信行为记录名单的</w:t>
            </w:r>
            <w:r>
              <w:rPr>
                <w:rFonts w:hint="eastAsia"/>
                <w:sz w:val="24"/>
              </w:rPr>
              <w:t>供应商</w:t>
            </w:r>
            <w:r>
              <w:rPr>
                <w:sz w:val="24"/>
              </w:rPr>
              <w:t>，其</w:t>
            </w:r>
            <w:r>
              <w:rPr>
                <w:rFonts w:hint="eastAsia"/>
                <w:b/>
                <w:sz w:val="24"/>
              </w:rPr>
              <w:t>响应</w:t>
            </w:r>
            <w:r>
              <w:rPr>
                <w:b/>
                <w:sz w:val="24"/>
              </w:rPr>
              <w:t>无效</w:t>
            </w:r>
            <w:r>
              <w:rPr>
                <w:sz w:val="24"/>
              </w:rPr>
              <w:t>。联合体形式</w:t>
            </w:r>
            <w:r>
              <w:rPr>
                <w:rFonts w:hint="eastAsia"/>
                <w:sz w:val="24"/>
              </w:rPr>
              <w:t>响应</w:t>
            </w:r>
            <w:r>
              <w:rPr>
                <w:sz w:val="24"/>
              </w:rPr>
              <w:t>的，联合体成员存在不良信用记录，视同联合体存在不良信用记录。</w:t>
            </w:r>
          </w:p>
        </w:tc>
        <w:tc>
          <w:tcPr>
            <w:tcW w:w="882" w:type="pct"/>
            <w:vAlign w:val="center"/>
          </w:tcPr>
          <w:p>
            <w:pPr>
              <w:tabs>
                <w:tab w:val="left" w:pos="1080"/>
              </w:tabs>
              <w:snapToGrid w:val="0"/>
              <w:rPr>
                <w:sz w:val="24"/>
              </w:rPr>
            </w:pPr>
            <w:r>
              <w:rPr>
                <w:sz w:val="24"/>
              </w:rPr>
              <w:t>无须</w:t>
            </w:r>
            <w:r>
              <w:rPr>
                <w:rFonts w:hint="eastAsia"/>
                <w:sz w:val="24"/>
              </w:rPr>
              <w:t>供应商</w:t>
            </w:r>
            <w:r>
              <w:rPr>
                <w:sz w:val="24"/>
              </w:rPr>
              <w:t>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w:t>
            </w:r>
          </w:p>
        </w:tc>
        <w:tc>
          <w:tcPr>
            <w:tcW w:w="1067" w:type="pct"/>
            <w:vAlign w:val="center"/>
          </w:tcPr>
          <w:p>
            <w:pPr>
              <w:tabs>
                <w:tab w:val="left" w:pos="1080"/>
              </w:tabs>
              <w:snapToGrid w:val="0"/>
              <w:rPr>
                <w:sz w:val="24"/>
              </w:rPr>
            </w:pPr>
            <w:r>
              <w:rPr>
                <w:sz w:val="24"/>
              </w:rPr>
              <w:t>落实政府采购政策需满足的资格要求</w:t>
            </w:r>
          </w:p>
        </w:tc>
        <w:tc>
          <w:tcPr>
            <w:tcW w:w="2596" w:type="pct"/>
            <w:vAlign w:val="center"/>
          </w:tcPr>
          <w:p>
            <w:pPr>
              <w:tabs>
                <w:tab w:val="left" w:pos="1080"/>
              </w:tabs>
              <w:snapToGrid w:val="0"/>
              <w:rPr>
                <w:sz w:val="24"/>
              </w:rPr>
            </w:pPr>
            <w:r>
              <w:rPr>
                <w:sz w:val="24"/>
              </w:rPr>
              <w:t>具体要求见第一章《</w:t>
            </w:r>
            <w:r>
              <w:rPr>
                <w:rFonts w:hint="eastAsia"/>
                <w:sz w:val="24"/>
              </w:rPr>
              <w:t>比选邀请</w:t>
            </w:r>
            <w:r>
              <w:rPr>
                <w:sz w:val="24"/>
              </w:rPr>
              <w:t>》</w:t>
            </w:r>
          </w:p>
        </w:tc>
        <w:tc>
          <w:tcPr>
            <w:tcW w:w="882" w:type="pct"/>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2-1</w:t>
            </w:r>
          </w:p>
        </w:tc>
        <w:tc>
          <w:tcPr>
            <w:tcW w:w="1067" w:type="pct"/>
            <w:vAlign w:val="center"/>
          </w:tcPr>
          <w:p>
            <w:pPr>
              <w:tabs>
                <w:tab w:val="left" w:pos="1080"/>
              </w:tabs>
              <w:snapToGrid w:val="0"/>
              <w:rPr>
                <w:sz w:val="24"/>
              </w:rPr>
            </w:pPr>
            <w:r>
              <w:rPr>
                <w:sz w:val="24"/>
              </w:rPr>
              <w:t>中小企业声明函</w:t>
            </w:r>
          </w:p>
        </w:tc>
        <w:tc>
          <w:tcPr>
            <w:tcW w:w="2596" w:type="pct"/>
            <w:vAlign w:val="center"/>
          </w:tcPr>
          <w:p>
            <w:pPr>
              <w:tabs>
                <w:tab w:val="left" w:pos="1080"/>
              </w:tabs>
              <w:snapToGrid w:val="0"/>
              <w:rPr>
                <w:sz w:val="24"/>
              </w:rPr>
            </w:pPr>
            <w:r>
              <w:rPr>
                <w:sz w:val="24"/>
              </w:rPr>
              <w:t>当本项目（包）涉及预留份额专门面向中小企业采购</w:t>
            </w:r>
            <w:r>
              <w:rPr>
                <w:rFonts w:hint="eastAsia"/>
                <w:sz w:val="24"/>
              </w:rPr>
              <w:t>，</w:t>
            </w:r>
            <w:r>
              <w:rPr>
                <w:sz w:val="24"/>
              </w:rPr>
              <w:t>此时建议在《资格证明文件》中提供。</w:t>
            </w:r>
          </w:p>
          <w:p>
            <w:pPr>
              <w:tabs>
                <w:tab w:val="left" w:pos="1080"/>
              </w:tabs>
              <w:snapToGrid w:val="0"/>
              <w:rPr>
                <w:sz w:val="24"/>
              </w:rPr>
            </w:pPr>
            <w:r>
              <w:rPr>
                <w:rFonts w:hint="eastAsia"/>
                <w:sz w:val="24"/>
              </w:rPr>
              <w:t>1、供应商单独响应的，应提供中小企业声明函；如为监狱企业或</w:t>
            </w:r>
            <w:r>
              <w:rPr>
                <w:sz w:val="24"/>
              </w:rPr>
              <w:t>残疾人福利性单位</w:t>
            </w:r>
            <w:r>
              <w:rPr>
                <w:rFonts w:hint="eastAsia"/>
                <w:sz w:val="24"/>
              </w:rPr>
              <w:t>，不必提供中小企业声明函，但须按注1或注2要求提供证明材料。</w:t>
            </w:r>
          </w:p>
          <w:p>
            <w:pPr>
              <w:tabs>
                <w:tab w:val="left" w:pos="1080"/>
              </w:tabs>
              <w:snapToGrid w:val="0"/>
              <w:rPr>
                <w:sz w:val="24"/>
              </w:rPr>
            </w:pPr>
            <w:r>
              <w:rPr>
                <w:rFonts w:hint="eastAsia"/>
                <w:sz w:val="24"/>
              </w:rPr>
              <w:t>2、如比选文件</w:t>
            </w:r>
            <w:r>
              <w:rPr>
                <w:sz w:val="24"/>
              </w:rPr>
              <w:t>要求以联合体形式参加或者要求合同分包的，</w:t>
            </w:r>
            <w:r>
              <w:rPr>
                <w:rFonts w:hint="eastAsia"/>
                <w:sz w:val="24"/>
              </w:rPr>
              <w:t>且供应商为联合体或拟进行合同分包的，则</w:t>
            </w:r>
            <w:r>
              <w:rPr>
                <w:sz w:val="24"/>
              </w:rPr>
              <w:t>联合体中的中小企业、签订分包意向协议的中小企业具体情况须在《中小企业声明函》中如实填报。</w:t>
            </w:r>
            <w:r>
              <w:rPr>
                <w:rFonts w:hint="eastAsia"/>
                <w:sz w:val="24"/>
              </w:rPr>
              <w:t>上述中小企业如为监狱企业或</w:t>
            </w:r>
            <w:r>
              <w:rPr>
                <w:sz w:val="24"/>
              </w:rPr>
              <w:t>残疾人福利性单位</w:t>
            </w:r>
            <w:r>
              <w:rPr>
                <w:rFonts w:hint="eastAsia"/>
                <w:sz w:val="24"/>
              </w:rPr>
              <w:t>应在声明函中如实列明单位性质，并按注1或注2要求提供证明材料。</w:t>
            </w:r>
          </w:p>
          <w:p>
            <w:pPr>
              <w:tabs>
                <w:tab w:val="left" w:pos="1080"/>
              </w:tabs>
              <w:snapToGrid w:val="0"/>
              <w:rPr>
                <w:sz w:val="24"/>
              </w:rPr>
            </w:pPr>
          </w:p>
          <w:p>
            <w:pPr>
              <w:tabs>
                <w:tab w:val="left" w:pos="1080"/>
              </w:tabs>
              <w:snapToGrid w:val="0"/>
              <w:rPr>
                <w:sz w:val="24"/>
              </w:rPr>
            </w:pPr>
            <w:r>
              <w:rPr>
                <w:rFonts w:hint="eastAsia"/>
                <w:sz w:val="24"/>
              </w:rPr>
              <w:t>注1：</w:t>
            </w:r>
            <w:r>
              <w:rPr>
                <w:sz w:val="24"/>
              </w:rPr>
              <w:t>监狱企业须提供由省级以上监狱管理局（北京市含教育矫治局）、戒毒管理局（含新疆生产建设兵团）出具的属于监狱企业的证明文件。</w:t>
            </w:r>
          </w:p>
          <w:p>
            <w:pPr>
              <w:tabs>
                <w:tab w:val="left" w:pos="1080"/>
              </w:tabs>
              <w:snapToGrid w:val="0"/>
              <w:rPr>
                <w:sz w:val="24"/>
              </w:rPr>
            </w:pPr>
            <w:r>
              <w:rPr>
                <w:rFonts w:hint="eastAsia"/>
                <w:sz w:val="24"/>
              </w:rPr>
              <w:t>注2：</w:t>
            </w:r>
            <w:r>
              <w:rPr>
                <w:sz w:val="24"/>
              </w:rPr>
              <w:t>残疾人福利性单位须按</w:t>
            </w:r>
            <w:r>
              <w:rPr>
                <w:rFonts w:hint="eastAsia"/>
                <w:sz w:val="24"/>
              </w:rPr>
              <w:t>比选文件</w:t>
            </w:r>
            <w:r>
              <w:rPr>
                <w:sz w:val="24"/>
              </w:rPr>
              <w:t>要求提供《残疾人福利性单位声明函》。</w:t>
            </w:r>
          </w:p>
        </w:tc>
        <w:tc>
          <w:tcPr>
            <w:tcW w:w="882" w:type="pct"/>
            <w:vAlign w:val="center"/>
          </w:tcPr>
          <w:p>
            <w:pPr>
              <w:tabs>
                <w:tab w:val="left" w:pos="1080"/>
              </w:tabs>
              <w:snapToGrid w:val="0"/>
              <w:rPr>
                <w:sz w:val="24"/>
              </w:rPr>
            </w:pPr>
            <w:r>
              <w:rPr>
                <w:sz w:val="24"/>
              </w:rPr>
              <w:t>格式见《</w:t>
            </w:r>
            <w:r>
              <w:rPr>
                <w:rFonts w:hint="eastAsia"/>
                <w:sz w:val="24"/>
              </w:rPr>
              <w:t>响应文件</w:t>
            </w:r>
            <w:r>
              <w:rPr>
                <w:sz w:val="24"/>
              </w:rPr>
              <w:t>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2-2</w:t>
            </w:r>
          </w:p>
        </w:tc>
        <w:tc>
          <w:tcPr>
            <w:tcW w:w="1067" w:type="pct"/>
            <w:vAlign w:val="center"/>
          </w:tcPr>
          <w:p>
            <w:pPr>
              <w:tabs>
                <w:tab w:val="left" w:pos="1080"/>
              </w:tabs>
              <w:snapToGrid w:val="0"/>
              <w:rPr>
                <w:sz w:val="24"/>
              </w:rPr>
            </w:pPr>
            <w:r>
              <w:rPr>
                <w:sz w:val="24"/>
              </w:rPr>
              <w:t>拟分包情况说明及分包意向协议（类型一）</w:t>
            </w:r>
          </w:p>
        </w:tc>
        <w:tc>
          <w:tcPr>
            <w:tcW w:w="2596" w:type="pct"/>
            <w:vAlign w:val="center"/>
          </w:tcPr>
          <w:p>
            <w:pPr>
              <w:tabs>
                <w:tab w:val="left" w:pos="1080"/>
              </w:tabs>
              <w:snapToGrid w:val="0"/>
              <w:rPr>
                <w:sz w:val="24"/>
              </w:rPr>
            </w:pPr>
            <w:r>
              <w:rPr>
                <w:sz w:val="24"/>
              </w:rPr>
              <w:t>如本项目（包）要求通过分包措施预留部分采购份额面向中小企业采购、且</w:t>
            </w:r>
            <w:r>
              <w:rPr>
                <w:rFonts w:hint="eastAsia"/>
                <w:sz w:val="24"/>
              </w:rPr>
              <w:t>供应商</w:t>
            </w:r>
            <w:r>
              <w:rPr>
                <w:sz w:val="24"/>
              </w:rPr>
              <w:t>因落实政府采购政策拟进行分包的，必须提供；否则无须提供。</w:t>
            </w:r>
          </w:p>
          <w:p>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pPr>
              <w:tabs>
                <w:tab w:val="left" w:pos="1080"/>
              </w:tabs>
              <w:snapToGrid w:val="0"/>
              <w:rPr>
                <w:sz w:val="24"/>
              </w:rPr>
            </w:pPr>
            <w:r>
              <w:rPr>
                <w:sz w:val="24"/>
              </w:rPr>
              <w:t>格式见《</w:t>
            </w:r>
            <w:r>
              <w:rPr>
                <w:rFonts w:hint="eastAsia"/>
                <w:sz w:val="24"/>
              </w:rPr>
              <w:t>响应文件</w:t>
            </w:r>
            <w:r>
              <w:rPr>
                <w:sz w:val="24"/>
              </w:rPr>
              <w:t>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2-3</w:t>
            </w:r>
          </w:p>
        </w:tc>
        <w:tc>
          <w:tcPr>
            <w:tcW w:w="1067" w:type="pct"/>
            <w:vAlign w:val="center"/>
          </w:tcPr>
          <w:p>
            <w:pPr>
              <w:tabs>
                <w:tab w:val="left" w:pos="1080"/>
              </w:tabs>
              <w:snapToGrid w:val="0"/>
              <w:rPr>
                <w:sz w:val="24"/>
              </w:rPr>
            </w:pPr>
            <w:r>
              <w:rPr>
                <w:sz w:val="24"/>
              </w:rPr>
              <w:t>其它落实政府采购政策的资格要求</w:t>
            </w:r>
          </w:p>
        </w:tc>
        <w:tc>
          <w:tcPr>
            <w:tcW w:w="2596" w:type="pct"/>
            <w:vAlign w:val="center"/>
          </w:tcPr>
          <w:p>
            <w:pPr>
              <w:tabs>
                <w:tab w:val="left" w:pos="1080"/>
              </w:tabs>
              <w:snapToGrid w:val="0"/>
              <w:rPr>
                <w:sz w:val="24"/>
              </w:rPr>
            </w:pPr>
            <w:r>
              <w:rPr>
                <w:sz w:val="24"/>
              </w:rPr>
              <w:t>如有，见第一章《</w:t>
            </w:r>
            <w:r>
              <w:rPr>
                <w:rFonts w:hint="eastAsia"/>
                <w:sz w:val="24"/>
              </w:rPr>
              <w:t>比选邀请</w:t>
            </w:r>
            <w:r>
              <w:rPr>
                <w:sz w:val="24"/>
              </w:rPr>
              <w:t>》</w:t>
            </w:r>
          </w:p>
        </w:tc>
        <w:tc>
          <w:tcPr>
            <w:tcW w:w="882" w:type="pct"/>
            <w:vAlign w:val="center"/>
          </w:tcPr>
          <w:p>
            <w:pPr>
              <w:tabs>
                <w:tab w:val="left" w:pos="1080"/>
              </w:tabs>
              <w:snapToGrid w:val="0"/>
              <w:rPr>
                <w:sz w:val="24"/>
              </w:rPr>
            </w:pPr>
            <w:r>
              <w:rPr>
                <w:rFonts w:hint="eastAsia"/>
                <w:sz w:val="24"/>
              </w:rPr>
              <w:t>提供相关证件复印件并加盖公章、提供承诺函原件，签字并加盖公章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w:t>
            </w:r>
          </w:p>
        </w:tc>
        <w:tc>
          <w:tcPr>
            <w:tcW w:w="1067" w:type="pct"/>
            <w:vAlign w:val="center"/>
          </w:tcPr>
          <w:p>
            <w:pPr>
              <w:tabs>
                <w:tab w:val="left" w:pos="1080"/>
              </w:tabs>
              <w:snapToGrid w:val="0"/>
              <w:rPr>
                <w:sz w:val="24"/>
              </w:rPr>
            </w:pPr>
            <w:r>
              <w:rPr>
                <w:sz w:val="24"/>
              </w:rPr>
              <w:t>本项目的特定资格要求</w:t>
            </w:r>
          </w:p>
        </w:tc>
        <w:tc>
          <w:tcPr>
            <w:tcW w:w="2596" w:type="pct"/>
            <w:vAlign w:val="center"/>
          </w:tcPr>
          <w:p>
            <w:pPr>
              <w:tabs>
                <w:tab w:val="left" w:pos="1080"/>
              </w:tabs>
              <w:snapToGrid w:val="0"/>
              <w:rPr>
                <w:sz w:val="24"/>
              </w:rPr>
            </w:pPr>
            <w:r>
              <w:rPr>
                <w:sz w:val="24"/>
              </w:rPr>
              <w:t>如有，见第一章《</w:t>
            </w:r>
            <w:r>
              <w:rPr>
                <w:rFonts w:hint="eastAsia"/>
                <w:sz w:val="24"/>
              </w:rPr>
              <w:t>比选邀请</w:t>
            </w:r>
            <w:r>
              <w:rPr>
                <w:sz w:val="24"/>
              </w:rPr>
              <w:t>》</w:t>
            </w:r>
          </w:p>
        </w:tc>
        <w:tc>
          <w:tcPr>
            <w:tcW w:w="882" w:type="pct"/>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8" w:hRule="atLeast"/>
        </w:trPr>
        <w:tc>
          <w:tcPr>
            <w:tcW w:w="455" w:type="pct"/>
            <w:vAlign w:val="center"/>
          </w:tcPr>
          <w:p>
            <w:pPr>
              <w:tabs>
                <w:tab w:val="left" w:pos="1080"/>
              </w:tabs>
              <w:snapToGrid w:val="0"/>
              <w:jc w:val="center"/>
              <w:rPr>
                <w:sz w:val="24"/>
              </w:rPr>
            </w:pPr>
            <w:r>
              <w:rPr>
                <w:sz w:val="24"/>
              </w:rPr>
              <w:t>3-1</w:t>
            </w:r>
          </w:p>
        </w:tc>
        <w:tc>
          <w:tcPr>
            <w:tcW w:w="1067" w:type="pct"/>
            <w:vAlign w:val="center"/>
          </w:tcPr>
          <w:p>
            <w:pPr>
              <w:tabs>
                <w:tab w:val="left" w:pos="1080"/>
              </w:tabs>
              <w:snapToGrid w:val="0"/>
              <w:rPr>
                <w:sz w:val="24"/>
              </w:rPr>
            </w:pPr>
            <w:r>
              <w:rPr>
                <w:sz w:val="24"/>
              </w:rPr>
              <w:t>是否接受联合体</w:t>
            </w:r>
            <w:r>
              <w:rPr>
                <w:rFonts w:hint="eastAsia"/>
                <w:sz w:val="24"/>
              </w:rPr>
              <w:t>响应</w:t>
            </w:r>
          </w:p>
        </w:tc>
        <w:tc>
          <w:tcPr>
            <w:tcW w:w="2596" w:type="pct"/>
            <w:vAlign w:val="center"/>
          </w:tcPr>
          <w:p>
            <w:pPr>
              <w:tabs>
                <w:tab w:val="left" w:pos="1080"/>
              </w:tabs>
              <w:snapToGrid w:val="0"/>
              <w:rPr>
                <w:sz w:val="24"/>
              </w:rPr>
            </w:pPr>
            <w:r>
              <w:rPr>
                <w:sz w:val="24"/>
              </w:rPr>
              <w:t>1、如本项目接受联合体</w:t>
            </w:r>
            <w:r>
              <w:rPr>
                <w:rFonts w:hint="eastAsia"/>
                <w:sz w:val="24"/>
              </w:rPr>
              <w:t>响应</w:t>
            </w:r>
            <w:r>
              <w:rPr>
                <w:sz w:val="24"/>
              </w:rPr>
              <w:t>，且</w:t>
            </w:r>
            <w:r>
              <w:rPr>
                <w:rFonts w:hint="eastAsia"/>
                <w:sz w:val="24"/>
              </w:rPr>
              <w:t>供应商</w:t>
            </w:r>
            <w:r>
              <w:rPr>
                <w:sz w:val="24"/>
              </w:rPr>
              <w:t>为联合体时必须提供《联合协议》，明确各方拟承担的工作和责任，并指定联合体牵头人，授权其代表所有联合体成员负责本项目</w:t>
            </w:r>
            <w:r>
              <w:rPr>
                <w:rFonts w:hint="eastAsia"/>
                <w:sz w:val="24"/>
              </w:rPr>
              <w:t>响应</w:t>
            </w:r>
            <w:r>
              <w:rPr>
                <w:sz w:val="24"/>
              </w:rPr>
              <w:t>和合同实施阶段的</w:t>
            </w:r>
            <w:r>
              <w:rPr>
                <w:rFonts w:hint="eastAsia"/>
                <w:sz w:val="24"/>
              </w:rPr>
              <w:t>牵头</w:t>
            </w:r>
            <w:r>
              <w:rPr>
                <w:sz w:val="24"/>
              </w:rPr>
              <w:t>、协调工作。该联合协议应当作为</w:t>
            </w:r>
            <w:r>
              <w:rPr>
                <w:rFonts w:hint="eastAsia"/>
                <w:sz w:val="24"/>
              </w:rPr>
              <w:t>响应文件</w:t>
            </w:r>
            <w:r>
              <w:rPr>
                <w:sz w:val="24"/>
              </w:rPr>
              <w:t>的组成部分，与</w:t>
            </w:r>
            <w:r>
              <w:rPr>
                <w:rFonts w:hint="eastAsia"/>
                <w:sz w:val="24"/>
              </w:rPr>
              <w:t>响应文件</w:t>
            </w:r>
            <w:r>
              <w:rPr>
                <w:sz w:val="24"/>
              </w:rPr>
              <w:t>其他内容同时递交。</w:t>
            </w:r>
          </w:p>
          <w:p>
            <w:pPr>
              <w:tabs>
                <w:tab w:val="left" w:pos="1080"/>
              </w:tabs>
              <w:snapToGrid w:val="0"/>
              <w:rPr>
                <w:sz w:val="24"/>
              </w:rPr>
            </w:pPr>
            <w:r>
              <w:rPr>
                <w:sz w:val="24"/>
              </w:rPr>
              <w:t>2、</w:t>
            </w:r>
            <w:r>
              <w:rPr>
                <w:rFonts w:hint="eastAsia"/>
                <w:sz w:val="24"/>
              </w:rPr>
              <w:t>联合体各成员单位均须提供本表中序号1-1、1-2的证明文件。</w:t>
            </w:r>
          </w:p>
          <w:p>
            <w:pPr>
              <w:tabs>
                <w:tab w:val="left" w:pos="1080"/>
              </w:tabs>
              <w:snapToGrid w:val="0"/>
              <w:rPr>
                <w:sz w:val="24"/>
              </w:rPr>
            </w:pPr>
            <w:r>
              <w:rPr>
                <w:rFonts w:hint="eastAsia"/>
                <w:sz w:val="24"/>
              </w:rPr>
              <w:t>3、本表序号3-2项规定的其他特定资格要求中的每一小项要求，联合体各方中至少应当有一方符合本表中其他资格要求并提供证明文件。</w:t>
            </w:r>
          </w:p>
          <w:p>
            <w:pPr>
              <w:tabs>
                <w:tab w:val="left" w:pos="1080"/>
              </w:tabs>
              <w:snapToGrid w:val="0"/>
              <w:rPr>
                <w:sz w:val="24"/>
              </w:rPr>
            </w:pPr>
            <w:r>
              <w:rPr>
                <w:rFonts w:hint="eastAsia"/>
                <w:sz w:val="24"/>
              </w:rPr>
              <w:t>4</w:t>
            </w:r>
            <w:r>
              <w:rPr>
                <w:sz w:val="24"/>
              </w:rPr>
              <w:t>、联合体中有同类资质的供应商按照联合体分工承担相同工作的，应当按照资质等级较低的供应商确定资质等级。</w:t>
            </w:r>
          </w:p>
          <w:p>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pPr>
              <w:tabs>
                <w:tab w:val="left" w:pos="1080"/>
              </w:tabs>
              <w:snapToGrid w:val="0"/>
              <w:rPr>
                <w:sz w:val="24"/>
              </w:rPr>
            </w:pPr>
            <w:r>
              <w:rPr>
                <w:sz w:val="24"/>
              </w:rPr>
              <w:t>6、若联合体中任一成员单位中途退出，则该联合体的</w:t>
            </w:r>
            <w:r>
              <w:rPr>
                <w:rFonts w:hint="eastAsia"/>
                <w:b/>
                <w:sz w:val="24"/>
              </w:rPr>
              <w:t>响应</w:t>
            </w:r>
            <w:r>
              <w:rPr>
                <w:b/>
                <w:sz w:val="24"/>
              </w:rPr>
              <w:t>无效</w:t>
            </w:r>
            <w:r>
              <w:rPr>
                <w:sz w:val="24"/>
              </w:rPr>
              <w:t>。</w:t>
            </w:r>
          </w:p>
          <w:p>
            <w:pPr>
              <w:tabs>
                <w:tab w:val="left" w:pos="1080"/>
              </w:tabs>
              <w:snapToGrid w:val="0"/>
              <w:rPr>
                <w:sz w:val="24"/>
              </w:rPr>
            </w:pPr>
            <w:r>
              <w:rPr>
                <w:sz w:val="24"/>
              </w:rPr>
              <w:t>7、本项目不接受联合体</w:t>
            </w:r>
            <w:r>
              <w:rPr>
                <w:rFonts w:hint="eastAsia"/>
                <w:sz w:val="24"/>
              </w:rPr>
              <w:t>响应时</w:t>
            </w:r>
            <w:r>
              <w:rPr>
                <w:sz w:val="24"/>
              </w:rPr>
              <w:t>，</w:t>
            </w:r>
            <w:r>
              <w:rPr>
                <w:rFonts w:hint="eastAsia"/>
                <w:sz w:val="24"/>
              </w:rPr>
              <w:t>供应商不得为联合体</w:t>
            </w:r>
            <w:r>
              <w:rPr>
                <w:sz w:val="24"/>
              </w:rPr>
              <w:t>。</w:t>
            </w:r>
          </w:p>
        </w:tc>
        <w:tc>
          <w:tcPr>
            <w:tcW w:w="882" w:type="pct"/>
            <w:vAlign w:val="center"/>
          </w:tcPr>
          <w:p>
            <w:pPr>
              <w:tabs>
                <w:tab w:val="left" w:pos="1080"/>
              </w:tabs>
              <w:snapToGrid w:val="0"/>
              <w:rPr>
                <w:sz w:val="24"/>
              </w:rPr>
            </w:pPr>
            <w:r>
              <w:rPr>
                <w:sz w:val="24"/>
              </w:rPr>
              <w:t>提供《联合协议》</w:t>
            </w:r>
            <w:r>
              <w:rPr>
                <w:rFonts w:hint="eastAsia"/>
                <w:sz w:val="24"/>
              </w:rPr>
              <w:t>原</w:t>
            </w:r>
            <w:r>
              <w:rPr>
                <w:sz w:val="24"/>
              </w:rPr>
              <w:t>件</w:t>
            </w:r>
          </w:p>
          <w:p>
            <w:pPr>
              <w:tabs>
                <w:tab w:val="left" w:pos="1080"/>
              </w:tabs>
              <w:snapToGrid w:val="0"/>
              <w:rPr>
                <w:sz w:val="24"/>
              </w:rPr>
            </w:pPr>
            <w:r>
              <w:rPr>
                <w:sz w:val="24"/>
              </w:rPr>
              <w:t>格式见《</w:t>
            </w:r>
            <w:r>
              <w:rPr>
                <w:rFonts w:hint="eastAsia"/>
                <w:sz w:val="24"/>
              </w:rPr>
              <w:t>响应文件</w:t>
            </w:r>
            <w:r>
              <w:rPr>
                <w:sz w:val="24"/>
              </w:rPr>
              <w:t>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5" w:type="pct"/>
            <w:vAlign w:val="center"/>
          </w:tcPr>
          <w:p>
            <w:pPr>
              <w:tabs>
                <w:tab w:val="left" w:pos="1080"/>
              </w:tabs>
              <w:snapToGrid w:val="0"/>
              <w:jc w:val="center"/>
              <w:rPr>
                <w:sz w:val="24"/>
              </w:rPr>
            </w:pPr>
            <w:r>
              <w:rPr>
                <w:sz w:val="24"/>
              </w:rPr>
              <w:t>3-2</w:t>
            </w:r>
          </w:p>
        </w:tc>
        <w:tc>
          <w:tcPr>
            <w:tcW w:w="1067" w:type="pct"/>
            <w:vAlign w:val="center"/>
          </w:tcPr>
          <w:p>
            <w:pPr>
              <w:tabs>
                <w:tab w:val="left" w:pos="1080"/>
              </w:tabs>
              <w:snapToGrid w:val="0"/>
              <w:rPr>
                <w:sz w:val="24"/>
              </w:rPr>
            </w:pPr>
            <w:r>
              <w:rPr>
                <w:sz w:val="24"/>
              </w:rPr>
              <w:t>其他特定资格要求</w:t>
            </w:r>
          </w:p>
        </w:tc>
        <w:tc>
          <w:tcPr>
            <w:tcW w:w="2596" w:type="pct"/>
            <w:vAlign w:val="center"/>
          </w:tcPr>
          <w:p>
            <w:pPr>
              <w:tabs>
                <w:tab w:val="left" w:pos="1080"/>
              </w:tabs>
              <w:snapToGrid w:val="0"/>
              <w:rPr>
                <w:sz w:val="24"/>
              </w:rPr>
            </w:pPr>
            <w:r>
              <w:rPr>
                <w:color w:val="000000"/>
                <w:sz w:val="24"/>
              </w:rPr>
              <w:t>如有，见</w:t>
            </w:r>
            <w:r>
              <w:rPr>
                <w:sz w:val="24"/>
              </w:rPr>
              <w:t>第一章《</w:t>
            </w:r>
            <w:r>
              <w:rPr>
                <w:rFonts w:hint="eastAsia"/>
                <w:sz w:val="24"/>
              </w:rPr>
              <w:t>比选邀请</w:t>
            </w:r>
            <w:r>
              <w:rPr>
                <w:sz w:val="24"/>
              </w:rPr>
              <w:t>》</w:t>
            </w:r>
          </w:p>
        </w:tc>
        <w:tc>
          <w:tcPr>
            <w:tcW w:w="882" w:type="pct"/>
            <w:vAlign w:val="center"/>
          </w:tcPr>
          <w:p>
            <w:pPr>
              <w:tabs>
                <w:tab w:val="left" w:pos="1080"/>
              </w:tabs>
              <w:snapToGrid w:val="0"/>
              <w:rPr>
                <w:sz w:val="24"/>
              </w:rPr>
            </w:pPr>
            <w:r>
              <w:rPr>
                <w:rFonts w:hint="eastAsia"/>
                <w:sz w:val="24"/>
              </w:rPr>
              <w:t>提供相关证件复印件并加盖公章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4</w:t>
            </w:r>
          </w:p>
        </w:tc>
        <w:tc>
          <w:tcPr>
            <w:tcW w:w="1067" w:type="pct"/>
            <w:vAlign w:val="center"/>
          </w:tcPr>
          <w:p>
            <w:pPr>
              <w:tabs>
                <w:tab w:val="left" w:pos="1080"/>
              </w:tabs>
              <w:snapToGrid w:val="0"/>
              <w:rPr>
                <w:sz w:val="24"/>
              </w:rPr>
            </w:pPr>
            <w:r>
              <w:rPr>
                <w:rFonts w:hint="eastAsia"/>
                <w:sz w:val="24"/>
              </w:rPr>
              <w:t>报价保证金</w:t>
            </w:r>
          </w:p>
        </w:tc>
        <w:tc>
          <w:tcPr>
            <w:tcW w:w="2596" w:type="pct"/>
            <w:vAlign w:val="center"/>
          </w:tcPr>
          <w:p>
            <w:pPr>
              <w:tabs>
                <w:tab w:val="left" w:pos="1080"/>
              </w:tabs>
              <w:snapToGrid w:val="0"/>
              <w:rPr>
                <w:sz w:val="24"/>
              </w:rPr>
            </w:pPr>
            <w:r>
              <w:rPr>
                <w:color w:val="000000"/>
                <w:kern w:val="0"/>
                <w:sz w:val="24"/>
              </w:rPr>
              <w:t>按照</w:t>
            </w:r>
            <w:r>
              <w:rPr>
                <w:rFonts w:hint="eastAsia"/>
                <w:color w:val="000000"/>
                <w:kern w:val="0"/>
                <w:sz w:val="24"/>
              </w:rPr>
              <w:t>比选文件</w:t>
            </w:r>
            <w:r>
              <w:rPr>
                <w:color w:val="000000"/>
                <w:kern w:val="0"/>
                <w:sz w:val="24"/>
              </w:rPr>
              <w:t>的规定提交</w:t>
            </w:r>
            <w:r>
              <w:rPr>
                <w:rFonts w:hint="eastAsia"/>
                <w:color w:val="000000"/>
                <w:kern w:val="0"/>
                <w:sz w:val="24"/>
              </w:rPr>
              <w:t>报价保证金。</w:t>
            </w:r>
          </w:p>
        </w:tc>
        <w:tc>
          <w:tcPr>
            <w:tcW w:w="882" w:type="pct"/>
            <w:vAlign w:val="center"/>
          </w:tcPr>
          <w:p>
            <w:pPr>
              <w:tabs>
                <w:tab w:val="left" w:pos="1080"/>
              </w:tabs>
              <w:snapToGrid w:val="0"/>
              <w:rPr>
                <w:sz w:val="24"/>
              </w:rPr>
            </w:pPr>
            <w:r>
              <w:rPr>
                <w:rFonts w:hint="eastAsia"/>
                <w:sz w:val="24"/>
              </w:rPr>
              <w:t>单独密封提交，具体要求见第二章供应商须知</w:t>
            </w:r>
          </w:p>
        </w:tc>
        <w:bookmarkStart w:id="614" w:name="_Hlt522424701"/>
        <w:bookmarkStart w:id="615" w:name="_Hlt487900425"/>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rFonts w:hint="eastAsia"/>
                <w:sz w:val="24"/>
              </w:rPr>
              <w:t>5</w:t>
            </w:r>
          </w:p>
        </w:tc>
        <w:tc>
          <w:tcPr>
            <w:tcW w:w="1067" w:type="pct"/>
            <w:vAlign w:val="center"/>
          </w:tcPr>
          <w:p>
            <w:pPr>
              <w:tabs>
                <w:tab w:val="left" w:pos="1080"/>
              </w:tabs>
              <w:snapToGrid w:val="0"/>
              <w:rPr>
                <w:sz w:val="24"/>
              </w:rPr>
            </w:pPr>
            <w:r>
              <w:rPr>
                <w:rFonts w:hint="eastAsia"/>
                <w:sz w:val="24"/>
                <w:szCs w:val="20"/>
              </w:rPr>
              <w:t>代理费承诺书</w:t>
            </w:r>
          </w:p>
        </w:tc>
        <w:tc>
          <w:tcPr>
            <w:tcW w:w="2596" w:type="pct"/>
            <w:vAlign w:val="center"/>
          </w:tcPr>
          <w:p>
            <w:pPr>
              <w:tabs>
                <w:tab w:val="left" w:pos="1080"/>
              </w:tabs>
              <w:snapToGrid w:val="0"/>
              <w:rPr>
                <w:color w:val="000000"/>
                <w:kern w:val="0"/>
                <w:sz w:val="24"/>
              </w:rPr>
            </w:pPr>
            <w:r>
              <w:rPr>
                <w:rFonts w:hint="eastAsia"/>
                <w:color w:val="000000"/>
                <w:kern w:val="0"/>
                <w:sz w:val="24"/>
              </w:rPr>
              <w:t>按照比选文件的要求提供</w:t>
            </w:r>
          </w:p>
        </w:tc>
        <w:tc>
          <w:tcPr>
            <w:tcW w:w="882" w:type="pct"/>
            <w:vAlign w:val="center"/>
          </w:tcPr>
          <w:p>
            <w:pPr>
              <w:tabs>
                <w:tab w:val="left" w:pos="1080"/>
              </w:tabs>
              <w:snapToGrid w:val="0"/>
              <w:rPr>
                <w:sz w:val="24"/>
              </w:rPr>
            </w:pPr>
            <w:r>
              <w:rPr>
                <w:rFonts w:hint="eastAsia"/>
                <w:sz w:val="24"/>
              </w:rPr>
              <w:t>提供原件，</w:t>
            </w:r>
            <w:r>
              <w:rPr>
                <w:sz w:val="24"/>
              </w:rPr>
              <w:t>格式见《</w:t>
            </w:r>
            <w:r>
              <w:rPr>
                <w:rFonts w:hint="eastAsia"/>
                <w:sz w:val="24"/>
              </w:rPr>
              <w:t>响应文件</w:t>
            </w:r>
            <w:r>
              <w:rPr>
                <w:sz w:val="24"/>
              </w:rPr>
              <w:t>格式》</w:t>
            </w:r>
          </w:p>
        </w:tc>
      </w:tr>
      <w:bookmarkEnd w:id="614"/>
      <w:bookmarkEnd w:id="615"/>
    </w:tbl>
    <w:p>
      <w:pPr>
        <w:widowControl/>
        <w:jc w:val="left"/>
        <w:rPr>
          <w:rFonts w:ascii="宋体" w:hAnsi="宋体"/>
          <w:sz w:val="24"/>
        </w:rPr>
      </w:pPr>
      <w:r>
        <w:rPr>
          <w:rFonts w:ascii="宋体" w:hAnsi="宋体"/>
          <w:sz w:val="24"/>
        </w:rPr>
        <w:br w:type="page"/>
      </w:r>
    </w:p>
    <w:bookmarkEnd w:id="609"/>
    <w:bookmarkEnd w:id="610"/>
    <w:bookmarkEnd w:id="611"/>
    <w:bookmarkEnd w:id="612"/>
    <w:bookmarkEnd w:id="613"/>
    <w:p>
      <w:pPr>
        <w:tabs>
          <w:tab w:val="left" w:pos="900"/>
          <w:tab w:val="left" w:pos="1080"/>
          <w:tab w:val="left" w:pos="1589"/>
        </w:tabs>
        <w:snapToGrid w:val="0"/>
        <w:spacing w:line="360" w:lineRule="auto"/>
        <w:ind w:leftChars="-170" w:hanging="357" w:hangingChars="148"/>
        <w:jc w:val="center"/>
        <w:rPr>
          <w:rFonts w:ascii="宋体" w:hAnsi="宋体"/>
          <w:b/>
          <w:color w:val="000000"/>
          <w:sz w:val="24"/>
        </w:rPr>
      </w:pPr>
      <w:bookmarkStart w:id="616" w:name="_Toc353873941"/>
      <w:bookmarkStart w:id="617" w:name="_Toc353825551"/>
      <w:bookmarkStart w:id="618" w:name="_Toc127151555"/>
      <w:bookmarkStart w:id="619" w:name="_Toc265228393"/>
      <w:bookmarkStart w:id="620" w:name="_Toc353873665"/>
      <w:bookmarkStart w:id="621" w:name="_Toc195842920"/>
      <w:bookmarkStart w:id="622" w:name="_Toc305158823"/>
      <w:bookmarkStart w:id="623" w:name="_Toc264969245"/>
      <w:bookmarkStart w:id="624" w:name="_Toc142311057"/>
      <w:bookmarkStart w:id="625" w:name="_Toc226965828"/>
      <w:bookmarkStart w:id="626" w:name="_Toc150480793"/>
      <w:bookmarkStart w:id="627" w:name="_Toc353825545"/>
      <w:bookmarkStart w:id="628" w:name="_Toc150774760"/>
      <w:bookmarkStart w:id="629" w:name="_Toc353873935"/>
      <w:bookmarkStart w:id="630" w:name="_Toc226337251"/>
      <w:bookmarkStart w:id="631" w:name="_Toc305158897"/>
      <w:r>
        <w:rPr>
          <w:rFonts w:ascii="宋体" w:hAnsi="宋体"/>
          <w:b/>
          <w:sz w:val="24"/>
        </w:rPr>
        <w:t>符合性审查</w:t>
      </w:r>
      <w:r>
        <w:rPr>
          <w:rFonts w:hint="eastAsia" w:ascii="宋体" w:hAnsi="宋体"/>
          <w:b/>
          <w:sz w:val="24"/>
        </w:rPr>
        <w:t>要求</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pPr>
              <w:widowControl/>
              <w:jc w:val="center"/>
              <w:rPr>
                <w:b/>
                <w:color w:val="000000"/>
                <w:kern w:val="0"/>
                <w:sz w:val="24"/>
              </w:rPr>
            </w:pPr>
            <w:r>
              <w:rPr>
                <w:b/>
                <w:color w:val="000000"/>
                <w:kern w:val="0"/>
                <w:sz w:val="24"/>
              </w:rPr>
              <w:t>序号</w:t>
            </w:r>
          </w:p>
        </w:tc>
        <w:tc>
          <w:tcPr>
            <w:tcW w:w="976" w:type="pct"/>
            <w:vAlign w:val="center"/>
          </w:tcPr>
          <w:p>
            <w:pPr>
              <w:widowControl/>
              <w:jc w:val="center"/>
              <w:rPr>
                <w:b/>
                <w:color w:val="000000"/>
                <w:kern w:val="0"/>
                <w:sz w:val="24"/>
              </w:rPr>
            </w:pPr>
            <w:r>
              <w:rPr>
                <w:b/>
                <w:color w:val="000000"/>
                <w:kern w:val="0"/>
                <w:sz w:val="24"/>
              </w:rPr>
              <w:t>审查因素</w:t>
            </w:r>
          </w:p>
        </w:tc>
        <w:tc>
          <w:tcPr>
            <w:tcW w:w="3620" w:type="pct"/>
            <w:vAlign w:val="center"/>
          </w:tcPr>
          <w:p>
            <w:pPr>
              <w:widowControl/>
              <w:jc w:val="center"/>
              <w:rPr>
                <w:b/>
                <w:color w:val="000000"/>
                <w:kern w:val="0"/>
                <w:sz w:val="24"/>
              </w:rPr>
            </w:pPr>
            <w:r>
              <w:rPr>
                <w:b/>
                <w:color w:val="000000"/>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1</w:t>
            </w:r>
          </w:p>
        </w:tc>
        <w:tc>
          <w:tcPr>
            <w:tcW w:w="976" w:type="pct"/>
            <w:vAlign w:val="center"/>
          </w:tcPr>
          <w:p>
            <w:pPr>
              <w:widowControl/>
              <w:jc w:val="left"/>
              <w:rPr>
                <w:color w:val="000000"/>
                <w:kern w:val="0"/>
                <w:sz w:val="24"/>
              </w:rPr>
            </w:pPr>
            <w:r>
              <w:rPr>
                <w:color w:val="000000"/>
                <w:kern w:val="0"/>
                <w:sz w:val="24"/>
              </w:rPr>
              <w:t>授权委托书</w:t>
            </w:r>
          </w:p>
        </w:tc>
        <w:tc>
          <w:tcPr>
            <w:tcW w:w="3620" w:type="pct"/>
            <w:vAlign w:val="center"/>
          </w:tcPr>
          <w:p>
            <w:pPr>
              <w:widowControl/>
              <w:jc w:val="left"/>
              <w:rPr>
                <w:color w:val="000000"/>
                <w:kern w:val="0"/>
                <w:sz w:val="24"/>
              </w:rPr>
            </w:pPr>
            <w:r>
              <w:rPr>
                <w:color w:val="000000"/>
                <w:kern w:val="0"/>
                <w:sz w:val="24"/>
              </w:rPr>
              <w:t>按</w:t>
            </w:r>
            <w:r>
              <w:rPr>
                <w:rFonts w:hint="eastAsia"/>
                <w:color w:val="000000"/>
                <w:kern w:val="0"/>
                <w:sz w:val="24"/>
              </w:rPr>
              <w:t>比选文件</w:t>
            </w:r>
            <w:r>
              <w:rPr>
                <w:color w:val="000000"/>
                <w:kern w:val="0"/>
                <w:sz w:val="24"/>
              </w:rPr>
              <w:t>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2</w:t>
            </w:r>
          </w:p>
        </w:tc>
        <w:tc>
          <w:tcPr>
            <w:tcW w:w="976" w:type="pct"/>
            <w:vAlign w:val="center"/>
          </w:tcPr>
          <w:p>
            <w:pPr>
              <w:widowControl/>
              <w:jc w:val="left"/>
              <w:rPr>
                <w:color w:val="000000"/>
                <w:kern w:val="0"/>
                <w:sz w:val="24"/>
              </w:rPr>
            </w:pPr>
            <w:r>
              <w:rPr>
                <w:rFonts w:hint="eastAsia"/>
                <w:color w:val="000000"/>
                <w:kern w:val="0"/>
                <w:sz w:val="24"/>
              </w:rPr>
              <w:t>响应</w:t>
            </w:r>
            <w:r>
              <w:rPr>
                <w:color w:val="000000"/>
                <w:kern w:val="0"/>
                <w:sz w:val="24"/>
              </w:rPr>
              <w:t>完整性</w:t>
            </w:r>
          </w:p>
        </w:tc>
        <w:tc>
          <w:tcPr>
            <w:tcW w:w="3620" w:type="pct"/>
            <w:vAlign w:val="center"/>
          </w:tcPr>
          <w:p>
            <w:pPr>
              <w:widowControl/>
              <w:jc w:val="left"/>
              <w:rPr>
                <w:color w:val="000000"/>
                <w:kern w:val="0"/>
                <w:sz w:val="24"/>
              </w:rPr>
            </w:pPr>
            <w:r>
              <w:rPr>
                <w:rFonts w:hint="eastAsia"/>
                <w:sz w:val="24"/>
              </w:rPr>
              <w:t>未</w:t>
            </w:r>
            <w:r>
              <w:rPr>
                <w:sz w:val="24"/>
              </w:rPr>
              <w:t>将一个采购包中的内容拆开</w:t>
            </w:r>
            <w:r>
              <w:rPr>
                <w:rFonts w:hint="eastAsia"/>
                <w:sz w:val="24"/>
              </w:rPr>
              <w:t>响应</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3</w:t>
            </w:r>
          </w:p>
        </w:tc>
        <w:tc>
          <w:tcPr>
            <w:tcW w:w="976" w:type="pct"/>
            <w:vAlign w:val="center"/>
          </w:tcPr>
          <w:p>
            <w:pPr>
              <w:widowControl/>
              <w:jc w:val="left"/>
              <w:rPr>
                <w:color w:val="000000"/>
                <w:kern w:val="0"/>
                <w:sz w:val="24"/>
              </w:rPr>
            </w:pPr>
            <w:r>
              <w:rPr>
                <w:rFonts w:hint="eastAsia"/>
                <w:color w:val="000000"/>
                <w:kern w:val="0"/>
                <w:sz w:val="24"/>
              </w:rPr>
              <w:t>响应</w:t>
            </w:r>
            <w:r>
              <w:rPr>
                <w:color w:val="000000"/>
                <w:kern w:val="0"/>
                <w:sz w:val="24"/>
              </w:rPr>
              <w:t>报价</w:t>
            </w:r>
          </w:p>
        </w:tc>
        <w:tc>
          <w:tcPr>
            <w:tcW w:w="3620" w:type="pct"/>
            <w:vAlign w:val="center"/>
          </w:tcPr>
          <w:p>
            <w:pPr>
              <w:widowControl/>
              <w:jc w:val="left"/>
              <w:rPr>
                <w:color w:val="000000"/>
                <w:kern w:val="0"/>
                <w:sz w:val="24"/>
              </w:rPr>
            </w:pPr>
            <w:r>
              <w:rPr>
                <w:rFonts w:hint="eastAsia"/>
                <w:color w:val="000000"/>
                <w:kern w:val="0"/>
                <w:sz w:val="24"/>
              </w:rPr>
              <w:t>响应</w:t>
            </w:r>
            <w:r>
              <w:rPr>
                <w:color w:val="000000"/>
                <w:kern w:val="0"/>
                <w:sz w:val="24"/>
              </w:rPr>
              <w:t>报价</w:t>
            </w:r>
            <w:r>
              <w:rPr>
                <w:rFonts w:hint="eastAsia"/>
                <w:color w:val="000000"/>
                <w:kern w:val="0"/>
                <w:sz w:val="24"/>
              </w:rPr>
              <w:t>未</w:t>
            </w:r>
            <w:r>
              <w:rPr>
                <w:color w:val="000000"/>
                <w:sz w:val="24"/>
              </w:rPr>
              <w:t>超过</w:t>
            </w:r>
            <w:r>
              <w:rPr>
                <w:rFonts w:hint="eastAsia"/>
                <w:color w:val="000000"/>
                <w:sz w:val="24"/>
              </w:rPr>
              <w:t>比选文件</w:t>
            </w:r>
            <w:r>
              <w:rPr>
                <w:color w:val="000000"/>
                <w:sz w:val="24"/>
              </w:rPr>
              <w:t>中规定的项目/采购包预算金额或者项目/采购包最高限价</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4</w:t>
            </w:r>
          </w:p>
        </w:tc>
        <w:tc>
          <w:tcPr>
            <w:tcW w:w="976" w:type="pct"/>
            <w:vAlign w:val="center"/>
          </w:tcPr>
          <w:p>
            <w:pPr>
              <w:widowControl/>
              <w:jc w:val="left"/>
              <w:rPr>
                <w:color w:val="000000"/>
                <w:kern w:val="0"/>
                <w:sz w:val="24"/>
              </w:rPr>
            </w:pPr>
            <w:r>
              <w:rPr>
                <w:color w:val="000000"/>
                <w:kern w:val="0"/>
                <w:sz w:val="24"/>
              </w:rPr>
              <w:t>报价唯一性</w:t>
            </w:r>
          </w:p>
        </w:tc>
        <w:tc>
          <w:tcPr>
            <w:tcW w:w="3620" w:type="pct"/>
            <w:vAlign w:val="center"/>
          </w:tcPr>
          <w:p>
            <w:pPr>
              <w:widowControl/>
              <w:jc w:val="left"/>
              <w:rPr>
                <w:color w:val="000000"/>
                <w:kern w:val="0"/>
                <w:sz w:val="24"/>
              </w:rPr>
            </w:pPr>
            <w:r>
              <w:rPr>
                <w:rFonts w:hint="eastAsia"/>
                <w:color w:val="000000"/>
                <w:kern w:val="0"/>
                <w:sz w:val="24"/>
              </w:rPr>
              <w:t>响应文件未</w:t>
            </w:r>
            <w:r>
              <w:rPr>
                <w:rFonts w:hint="eastAsia"/>
                <w:sz w:val="24"/>
              </w:rPr>
              <w:t>出现可选择性或可调整的报价（比选文件另有规定的除外）</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5</w:t>
            </w:r>
          </w:p>
        </w:tc>
        <w:tc>
          <w:tcPr>
            <w:tcW w:w="976" w:type="pct"/>
            <w:vAlign w:val="center"/>
          </w:tcPr>
          <w:p>
            <w:pPr>
              <w:widowControl/>
              <w:jc w:val="left"/>
              <w:rPr>
                <w:color w:val="000000"/>
                <w:kern w:val="0"/>
                <w:sz w:val="24"/>
              </w:rPr>
            </w:pPr>
            <w:r>
              <w:rPr>
                <w:rFonts w:hint="eastAsia"/>
                <w:color w:val="000000"/>
                <w:kern w:val="0"/>
                <w:sz w:val="24"/>
              </w:rPr>
              <w:t>报价有效期</w:t>
            </w:r>
          </w:p>
        </w:tc>
        <w:tc>
          <w:tcPr>
            <w:tcW w:w="3620" w:type="pct"/>
            <w:vAlign w:val="center"/>
          </w:tcPr>
          <w:p>
            <w:pPr>
              <w:widowControl/>
              <w:jc w:val="left"/>
              <w:rPr>
                <w:color w:val="000000"/>
                <w:kern w:val="0"/>
                <w:sz w:val="24"/>
              </w:rPr>
            </w:pPr>
            <w:r>
              <w:rPr>
                <w:rFonts w:hint="eastAsia"/>
                <w:color w:val="000000"/>
                <w:kern w:val="0"/>
                <w:sz w:val="24"/>
              </w:rPr>
              <w:t>响应文件</w:t>
            </w:r>
            <w:r>
              <w:rPr>
                <w:color w:val="000000"/>
                <w:kern w:val="0"/>
                <w:sz w:val="24"/>
              </w:rPr>
              <w:t>中承诺的</w:t>
            </w:r>
            <w:r>
              <w:rPr>
                <w:rFonts w:hint="eastAsia"/>
                <w:color w:val="000000"/>
                <w:kern w:val="0"/>
                <w:sz w:val="24"/>
              </w:rPr>
              <w:t>报价有效期满足比选文件</w:t>
            </w:r>
            <w:r>
              <w:rPr>
                <w:color w:val="000000"/>
                <w:kern w:val="0"/>
                <w:sz w:val="24"/>
              </w:rPr>
              <w:t>中载明的</w:t>
            </w:r>
            <w:r>
              <w:rPr>
                <w:rFonts w:hint="eastAsia"/>
                <w:color w:val="000000"/>
                <w:kern w:val="0"/>
                <w:sz w:val="24"/>
              </w:rPr>
              <w:t>报价有效期</w:t>
            </w:r>
            <w:r>
              <w:rPr>
                <w:color w:val="000000"/>
                <w:kern w:val="0"/>
                <w:sz w:val="24"/>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6</w:t>
            </w:r>
          </w:p>
        </w:tc>
        <w:tc>
          <w:tcPr>
            <w:tcW w:w="976" w:type="pct"/>
            <w:vAlign w:val="center"/>
          </w:tcPr>
          <w:p>
            <w:pPr>
              <w:widowControl/>
              <w:jc w:val="left"/>
              <w:rPr>
                <w:color w:val="000000"/>
                <w:kern w:val="0"/>
                <w:sz w:val="24"/>
              </w:rPr>
            </w:pPr>
            <w:r>
              <w:rPr>
                <w:color w:val="000000"/>
                <w:kern w:val="0"/>
                <w:sz w:val="24"/>
              </w:rPr>
              <w:t>签署、盖章</w:t>
            </w:r>
          </w:p>
        </w:tc>
        <w:tc>
          <w:tcPr>
            <w:tcW w:w="3620" w:type="pct"/>
            <w:vAlign w:val="center"/>
          </w:tcPr>
          <w:p>
            <w:pPr>
              <w:widowControl/>
              <w:jc w:val="left"/>
              <w:rPr>
                <w:color w:val="000000"/>
                <w:kern w:val="0"/>
                <w:sz w:val="24"/>
              </w:rPr>
            </w:pPr>
            <w:r>
              <w:rPr>
                <w:color w:val="000000"/>
                <w:kern w:val="0"/>
                <w:sz w:val="24"/>
              </w:rPr>
              <w:t>按照</w:t>
            </w:r>
            <w:r>
              <w:rPr>
                <w:rFonts w:hint="eastAsia"/>
                <w:color w:val="000000"/>
                <w:kern w:val="0"/>
                <w:sz w:val="24"/>
              </w:rPr>
              <w:t>比选文件</w:t>
            </w:r>
            <w:r>
              <w:rPr>
                <w:color w:val="000000"/>
                <w:kern w:val="0"/>
                <w:sz w:val="24"/>
              </w:rPr>
              <w:t>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rFonts w:hint="eastAsia"/>
                <w:color w:val="000000"/>
                <w:kern w:val="0"/>
                <w:sz w:val="24"/>
              </w:rPr>
              <w:t>7</w:t>
            </w:r>
          </w:p>
        </w:tc>
        <w:tc>
          <w:tcPr>
            <w:tcW w:w="976" w:type="pct"/>
            <w:vAlign w:val="center"/>
          </w:tcPr>
          <w:p>
            <w:pPr>
              <w:widowControl/>
              <w:jc w:val="left"/>
              <w:rPr>
                <w:color w:val="000000"/>
                <w:kern w:val="0"/>
                <w:sz w:val="24"/>
              </w:rPr>
            </w:pPr>
            <w:r>
              <w:rPr>
                <w:rFonts w:hint="eastAsia"/>
                <w:color w:val="000000"/>
                <w:kern w:val="0"/>
                <w:sz w:val="24"/>
              </w:rPr>
              <w:t>实质性格式</w:t>
            </w:r>
          </w:p>
        </w:tc>
        <w:tc>
          <w:tcPr>
            <w:tcW w:w="3620" w:type="pct"/>
            <w:vAlign w:val="center"/>
          </w:tcPr>
          <w:p>
            <w:pPr>
              <w:widowControl/>
              <w:jc w:val="left"/>
              <w:rPr>
                <w:color w:val="000000"/>
                <w:kern w:val="0"/>
                <w:sz w:val="24"/>
              </w:rPr>
            </w:pPr>
            <w:r>
              <w:rPr>
                <w:rFonts w:hint="eastAsia"/>
                <w:kern w:val="0"/>
                <w:sz w:val="24"/>
              </w:rPr>
              <w:t>标记为</w:t>
            </w:r>
            <w:r>
              <w:rPr>
                <w:kern w:val="0"/>
                <w:sz w:val="24"/>
              </w:rPr>
              <w:t>“实质性格式”的</w:t>
            </w:r>
            <w:r>
              <w:rPr>
                <w:rFonts w:hint="eastAsia"/>
                <w:kern w:val="0"/>
                <w:sz w:val="24"/>
              </w:rPr>
              <w:t>文件均按比选文件要求提供；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8</w:t>
            </w:r>
          </w:p>
        </w:tc>
        <w:tc>
          <w:tcPr>
            <w:tcW w:w="976" w:type="pct"/>
            <w:vAlign w:val="center"/>
          </w:tcPr>
          <w:p>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3620" w:type="pct"/>
            <w:vAlign w:val="center"/>
          </w:tcPr>
          <w:p>
            <w:pPr>
              <w:widowControl/>
              <w:jc w:val="left"/>
              <w:rPr>
                <w:color w:val="000000"/>
                <w:kern w:val="0"/>
                <w:sz w:val="24"/>
              </w:rPr>
            </w:pPr>
            <w:r>
              <w:rPr>
                <w:rFonts w:hint="eastAsia"/>
                <w:color w:val="000000"/>
                <w:kern w:val="0"/>
                <w:sz w:val="24"/>
              </w:rPr>
              <w:t>响应文件</w:t>
            </w:r>
            <w:r>
              <w:rPr>
                <w:color w:val="000000"/>
                <w:kern w:val="0"/>
                <w:sz w:val="24"/>
              </w:rPr>
              <w:t>满足</w:t>
            </w:r>
            <w:r>
              <w:rPr>
                <w:rFonts w:hint="eastAsia"/>
                <w:color w:val="000000"/>
                <w:kern w:val="0"/>
                <w:sz w:val="24"/>
              </w:rPr>
              <w:t>比选文件</w:t>
            </w:r>
            <w:r>
              <w:rPr>
                <w:rFonts w:hint="eastAsia"/>
                <w:sz w:val="24"/>
              </w:rPr>
              <w:t>第四章《采购需求》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9</w:t>
            </w:r>
          </w:p>
        </w:tc>
        <w:tc>
          <w:tcPr>
            <w:tcW w:w="976" w:type="pct"/>
            <w:vAlign w:val="center"/>
          </w:tcPr>
          <w:p>
            <w:pPr>
              <w:widowControl/>
              <w:jc w:val="left"/>
              <w:rPr>
                <w:color w:val="000000"/>
                <w:kern w:val="0"/>
                <w:sz w:val="24"/>
              </w:rPr>
            </w:pPr>
            <w:r>
              <w:rPr>
                <w:color w:val="000000"/>
                <w:kern w:val="0"/>
                <w:sz w:val="24"/>
              </w:rPr>
              <w:t>分包承担主体资质（如有）</w:t>
            </w:r>
          </w:p>
        </w:tc>
        <w:tc>
          <w:tcPr>
            <w:tcW w:w="3620" w:type="pct"/>
            <w:vAlign w:val="center"/>
          </w:tcPr>
          <w:p>
            <w:pPr>
              <w:widowControl/>
              <w:jc w:val="left"/>
              <w:rPr>
                <w:color w:val="000000"/>
                <w:kern w:val="0"/>
                <w:sz w:val="24"/>
              </w:rPr>
            </w:pPr>
            <w:r>
              <w:rPr>
                <w:sz w:val="24"/>
              </w:rPr>
              <w:t>分包承担主体具备《</w:t>
            </w:r>
            <w:r>
              <w:rPr>
                <w:rFonts w:hint="eastAsia"/>
                <w:sz w:val="24"/>
              </w:rPr>
              <w:t>供应商</w:t>
            </w:r>
            <w:r>
              <w:rPr>
                <w:sz w:val="24"/>
              </w:rPr>
              <w:t>须知资料表》载明的资质条件</w:t>
            </w:r>
            <w:r>
              <w:rPr>
                <w:rFonts w:hint="eastAsia"/>
                <w:sz w:val="24"/>
              </w:rPr>
              <w:t>且</w:t>
            </w:r>
            <w:r>
              <w:rPr>
                <w:sz w:val="24"/>
              </w:rPr>
              <w:t>提供</w:t>
            </w:r>
            <w:r>
              <w:rPr>
                <w:rFonts w:hint="eastAsia"/>
                <w:sz w:val="24"/>
              </w:rPr>
              <w:t>了</w:t>
            </w:r>
            <w:r>
              <w:rPr>
                <w:sz w:val="24"/>
              </w:rPr>
              <w:t>资质证书</w:t>
            </w:r>
            <w:r>
              <w:rPr>
                <w:rFonts w:hint="eastAsia"/>
                <w:sz w:val="24"/>
              </w:rPr>
              <w:t>复印件（如有）</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10</w:t>
            </w:r>
          </w:p>
        </w:tc>
        <w:tc>
          <w:tcPr>
            <w:tcW w:w="976" w:type="pct"/>
            <w:vAlign w:val="center"/>
          </w:tcPr>
          <w:p>
            <w:pPr>
              <w:widowControl/>
              <w:jc w:val="left"/>
              <w:rPr>
                <w:color w:val="000000"/>
                <w:kern w:val="0"/>
                <w:sz w:val="24"/>
              </w:rPr>
            </w:pPr>
            <w:r>
              <w:rPr>
                <w:color w:val="000000"/>
                <w:kern w:val="0"/>
                <w:sz w:val="24"/>
              </w:rPr>
              <w:t>分包意向协议</w:t>
            </w:r>
          </w:p>
          <w:p>
            <w:pPr>
              <w:widowControl/>
              <w:jc w:val="left"/>
              <w:rPr>
                <w:color w:val="000000"/>
                <w:kern w:val="0"/>
                <w:sz w:val="24"/>
              </w:rPr>
            </w:pPr>
            <w:r>
              <w:rPr>
                <w:color w:val="000000"/>
                <w:kern w:val="0"/>
                <w:sz w:val="24"/>
              </w:rPr>
              <w:t>（如有）</w:t>
            </w:r>
          </w:p>
        </w:tc>
        <w:tc>
          <w:tcPr>
            <w:tcW w:w="3620" w:type="pct"/>
            <w:vAlign w:val="center"/>
          </w:tcPr>
          <w:p>
            <w:pPr>
              <w:widowControl/>
              <w:jc w:val="left"/>
              <w:rPr>
                <w:color w:val="000000"/>
                <w:kern w:val="0"/>
                <w:sz w:val="24"/>
              </w:rPr>
            </w:pPr>
            <w:r>
              <w:rPr>
                <w:color w:val="000000"/>
                <w:kern w:val="0"/>
                <w:sz w:val="24"/>
              </w:rPr>
              <w:t>按</w:t>
            </w:r>
            <w:r>
              <w:rPr>
                <w:rFonts w:hint="eastAsia"/>
                <w:color w:val="000000"/>
                <w:kern w:val="0"/>
                <w:sz w:val="24"/>
              </w:rPr>
              <w:t>比选文件</w:t>
            </w:r>
            <w:r>
              <w:rPr>
                <w:color w:val="000000"/>
                <w:kern w:val="0"/>
                <w:sz w:val="24"/>
              </w:rPr>
              <w:t>规定签订并提供分包意向协议原件的电子件的；</w:t>
            </w:r>
            <w:r>
              <w:rPr>
                <w:rFonts w:hint="eastAsia"/>
                <w:sz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11</w:t>
            </w:r>
          </w:p>
        </w:tc>
        <w:tc>
          <w:tcPr>
            <w:tcW w:w="976" w:type="pct"/>
            <w:vAlign w:val="center"/>
          </w:tcPr>
          <w:p>
            <w:pPr>
              <w:widowControl/>
              <w:jc w:val="left"/>
              <w:rPr>
                <w:color w:val="000000"/>
                <w:kern w:val="0"/>
                <w:sz w:val="24"/>
              </w:rPr>
            </w:pPr>
            <w:r>
              <w:rPr>
                <w:color w:val="000000"/>
                <w:kern w:val="0"/>
                <w:sz w:val="24"/>
              </w:rPr>
              <w:t>报价的修正（如有）</w:t>
            </w:r>
          </w:p>
        </w:tc>
        <w:tc>
          <w:tcPr>
            <w:tcW w:w="3620" w:type="pct"/>
            <w:vAlign w:val="center"/>
          </w:tcPr>
          <w:p>
            <w:pPr>
              <w:widowControl/>
              <w:jc w:val="left"/>
              <w:rPr>
                <w:color w:val="000000"/>
                <w:kern w:val="0"/>
                <w:sz w:val="24"/>
              </w:rPr>
            </w:pPr>
            <w:r>
              <w:rPr>
                <w:rFonts w:hint="eastAsia"/>
                <w:color w:val="000000"/>
                <w:kern w:val="0"/>
                <w:sz w:val="24"/>
              </w:rPr>
              <w:t>不涉及报价修正</w:t>
            </w:r>
            <w:r>
              <w:rPr>
                <w:color w:val="000000"/>
                <w:kern w:val="0"/>
                <w:sz w:val="24"/>
              </w:rPr>
              <w:t>，或</w:t>
            </w:r>
            <w:r>
              <w:rPr>
                <w:rFonts w:hint="eastAsia"/>
                <w:color w:val="000000"/>
                <w:kern w:val="0"/>
                <w:sz w:val="24"/>
              </w:rPr>
              <w:t>响应文件</w:t>
            </w:r>
            <w:r>
              <w:rPr>
                <w:color w:val="000000"/>
                <w:kern w:val="0"/>
                <w:sz w:val="24"/>
              </w:rPr>
              <w:t>报价出现前后不一致</w:t>
            </w:r>
            <w:r>
              <w:rPr>
                <w:rFonts w:hint="eastAsia"/>
                <w:color w:val="000000"/>
                <w:kern w:val="0"/>
                <w:sz w:val="24"/>
              </w:rPr>
              <w:t>时</w:t>
            </w:r>
            <w:r>
              <w:rPr>
                <w:color w:val="000000"/>
                <w:kern w:val="0"/>
                <w:sz w:val="24"/>
              </w:rPr>
              <w:t>，</w:t>
            </w:r>
            <w:r>
              <w:rPr>
                <w:rFonts w:hint="eastAsia"/>
                <w:color w:val="000000"/>
                <w:kern w:val="0"/>
                <w:sz w:val="24"/>
              </w:rPr>
              <w:t>供应商</w:t>
            </w:r>
            <w:r>
              <w:rPr>
                <w:color w:val="000000"/>
                <w:kern w:val="0"/>
                <w:sz w:val="24"/>
              </w:rPr>
              <w:t>对修正后的报价予</w:t>
            </w:r>
            <w:r>
              <w:rPr>
                <w:rFonts w:hint="eastAsia"/>
                <w:color w:val="000000"/>
                <w:kern w:val="0"/>
                <w:sz w:val="24"/>
              </w:rPr>
              <w:t>以</w:t>
            </w:r>
            <w:r>
              <w:rPr>
                <w:color w:val="000000"/>
                <w:kern w:val="0"/>
                <w:sz w:val="24"/>
              </w:rPr>
              <w:t>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12</w:t>
            </w:r>
          </w:p>
        </w:tc>
        <w:tc>
          <w:tcPr>
            <w:tcW w:w="976" w:type="pct"/>
            <w:vAlign w:val="center"/>
          </w:tcPr>
          <w:p>
            <w:pPr>
              <w:widowControl/>
              <w:jc w:val="left"/>
              <w:rPr>
                <w:color w:val="000000"/>
                <w:kern w:val="0"/>
                <w:sz w:val="24"/>
              </w:rPr>
            </w:pPr>
            <w:r>
              <w:rPr>
                <w:color w:val="000000"/>
                <w:kern w:val="0"/>
                <w:sz w:val="24"/>
              </w:rPr>
              <w:t>报价合理性</w:t>
            </w:r>
          </w:p>
        </w:tc>
        <w:tc>
          <w:tcPr>
            <w:tcW w:w="3620" w:type="pct"/>
            <w:vAlign w:val="center"/>
          </w:tcPr>
          <w:p>
            <w:pPr>
              <w:widowControl/>
              <w:jc w:val="left"/>
              <w:rPr>
                <w:color w:val="000000"/>
                <w:kern w:val="0"/>
                <w:sz w:val="24"/>
              </w:rPr>
            </w:pPr>
            <w:r>
              <w:rPr>
                <w:color w:val="000000"/>
                <w:kern w:val="0"/>
                <w:sz w:val="24"/>
              </w:rPr>
              <w:t>报价合理，或</w:t>
            </w:r>
            <w:r>
              <w:rPr>
                <w:rFonts w:hint="eastAsia"/>
                <w:sz w:val="24"/>
              </w:rPr>
              <w:t>供应商的报价明显低于其他通过符合性审查供应商的报价，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13</w:t>
            </w:r>
          </w:p>
        </w:tc>
        <w:tc>
          <w:tcPr>
            <w:tcW w:w="976" w:type="pct"/>
            <w:vAlign w:val="center"/>
          </w:tcPr>
          <w:p>
            <w:pPr>
              <w:widowControl/>
              <w:jc w:val="left"/>
              <w:rPr>
                <w:color w:val="000000"/>
                <w:kern w:val="0"/>
                <w:sz w:val="24"/>
              </w:rPr>
            </w:pPr>
            <w:r>
              <w:rPr>
                <w:color w:val="000000"/>
                <w:kern w:val="0"/>
                <w:sz w:val="24"/>
              </w:rPr>
              <w:t>进口产品</w:t>
            </w:r>
          </w:p>
          <w:p>
            <w:pPr>
              <w:widowControl/>
              <w:jc w:val="left"/>
              <w:rPr>
                <w:color w:val="000000"/>
                <w:kern w:val="0"/>
                <w:sz w:val="24"/>
              </w:rPr>
            </w:pPr>
            <w:r>
              <w:rPr>
                <w:color w:val="000000"/>
                <w:kern w:val="0"/>
                <w:sz w:val="24"/>
              </w:rPr>
              <w:t>（如有）</w:t>
            </w:r>
          </w:p>
        </w:tc>
        <w:tc>
          <w:tcPr>
            <w:tcW w:w="3620" w:type="pct"/>
            <w:vAlign w:val="center"/>
          </w:tcPr>
          <w:p>
            <w:pPr>
              <w:widowControl/>
              <w:jc w:val="left"/>
              <w:rPr>
                <w:color w:val="000000"/>
                <w:kern w:val="0"/>
                <w:sz w:val="24"/>
              </w:rPr>
            </w:pPr>
            <w:r>
              <w:rPr>
                <w:rFonts w:hint="eastAsia" w:ascii="宋体" w:hAnsi="宋体"/>
                <w:sz w:val="24"/>
              </w:rPr>
              <w:t>比选文件</w:t>
            </w:r>
            <w:r>
              <w:rPr>
                <w:rFonts w:ascii="宋体" w:hAnsi="宋体"/>
                <w:sz w:val="24"/>
              </w:rPr>
              <w:t>不接受进口产品</w:t>
            </w:r>
            <w:r>
              <w:rPr>
                <w:rFonts w:hint="eastAsia" w:ascii="宋体" w:hAnsi="宋体"/>
                <w:sz w:val="24"/>
              </w:rPr>
              <w:t>响应的内容时</w:t>
            </w:r>
            <w:r>
              <w:rPr>
                <w:rFonts w:ascii="宋体" w:hAnsi="宋体"/>
                <w:sz w:val="24"/>
              </w:rPr>
              <w:t>，</w:t>
            </w:r>
            <w:r>
              <w:rPr>
                <w:rFonts w:hint="eastAsia" w:ascii="宋体" w:hAnsi="宋体"/>
                <w:sz w:val="24"/>
              </w:rPr>
              <w:t>供应商所投产品非进口产品的；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14</w:t>
            </w:r>
          </w:p>
        </w:tc>
        <w:tc>
          <w:tcPr>
            <w:tcW w:w="976" w:type="pct"/>
            <w:vAlign w:val="center"/>
          </w:tcPr>
          <w:p>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响应</w:t>
            </w:r>
            <w:r>
              <w:rPr>
                <w:color w:val="000000"/>
                <w:kern w:val="0"/>
                <w:sz w:val="24"/>
              </w:rPr>
              <w:t>产品有强制性规定或要求的</w:t>
            </w:r>
            <w:r>
              <w:rPr>
                <w:rFonts w:hint="eastAsia"/>
                <w:color w:val="000000"/>
                <w:kern w:val="0"/>
                <w:sz w:val="24"/>
              </w:rPr>
              <w:t>（如有）</w:t>
            </w:r>
          </w:p>
        </w:tc>
        <w:tc>
          <w:tcPr>
            <w:tcW w:w="3620" w:type="pct"/>
            <w:vAlign w:val="center"/>
          </w:tcPr>
          <w:p>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响应</w:t>
            </w:r>
            <w:r>
              <w:rPr>
                <w:color w:val="000000"/>
                <w:kern w:val="0"/>
                <w:sz w:val="24"/>
              </w:rPr>
              <w:t>产品有强制性规定或要求的（如相应技术、安全、节能和环保等），</w:t>
            </w:r>
            <w:r>
              <w:rPr>
                <w:rFonts w:hint="eastAsia"/>
                <w:color w:val="000000"/>
                <w:kern w:val="0"/>
                <w:sz w:val="24"/>
              </w:rPr>
              <w:t>供应商</w:t>
            </w:r>
            <w:r>
              <w:rPr>
                <w:color w:val="000000"/>
                <w:kern w:val="0"/>
                <w:sz w:val="24"/>
              </w:rPr>
              <w:t>的</w:t>
            </w:r>
            <w:r>
              <w:rPr>
                <w:rFonts w:hint="eastAsia"/>
                <w:color w:val="000000"/>
                <w:kern w:val="0"/>
                <w:sz w:val="24"/>
              </w:rPr>
              <w:t>响应</w:t>
            </w:r>
            <w:r>
              <w:rPr>
                <w:color w:val="000000"/>
                <w:kern w:val="0"/>
                <w:sz w:val="24"/>
              </w:rPr>
              <w:t>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，并提供证明文件复印件：</w:t>
            </w:r>
          </w:p>
          <w:p>
            <w:pPr>
              <w:widowControl/>
              <w:jc w:val="left"/>
              <w:rPr>
                <w:color w:val="000000"/>
                <w:kern w:val="0"/>
                <w:sz w:val="24"/>
              </w:rPr>
            </w:pPr>
            <w:r>
              <w:rPr>
                <w:rFonts w:hint="eastAsia"/>
                <w:color w:val="000000"/>
                <w:kern w:val="0"/>
                <w:sz w:val="24"/>
              </w:rPr>
              <w:t>1）</w:t>
            </w:r>
            <w:r>
              <w:rPr>
                <w:color w:val="000000"/>
                <w:kern w:val="0"/>
                <w:sz w:val="24"/>
              </w:rPr>
              <w:t>采购的产品若属于《节能产品政府采购品目清单》范围中政府强制采购产品，则</w:t>
            </w:r>
            <w:r>
              <w:rPr>
                <w:rFonts w:hint="eastAsia"/>
                <w:color w:val="000000"/>
                <w:kern w:val="0"/>
                <w:sz w:val="24"/>
              </w:rPr>
              <w:t>供应商</w:t>
            </w:r>
            <w:r>
              <w:rPr>
                <w:color w:val="000000"/>
                <w:kern w:val="0"/>
                <w:sz w:val="24"/>
              </w:rPr>
              <w:t>所报产品必须获得国家确定的认证机构出具的、处于有效期之内的节能产品认证证书；</w:t>
            </w:r>
          </w:p>
          <w:p>
            <w:pPr>
              <w:widowControl/>
              <w:jc w:val="left"/>
              <w:rPr>
                <w:color w:val="000000"/>
                <w:kern w:val="0"/>
                <w:sz w:val="24"/>
              </w:rPr>
            </w:pPr>
            <w:r>
              <w:rPr>
                <w:rFonts w:hint="eastAsia"/>
                <w:color w:val="000000"/>
                <w:kern w:val="0"/>
                <w:sz w:val="24"/>
              </w:rPr>
              <w:t>2）响应</w:t>
            </w:r>
            <w:r>
              <w:rPr>
                <w:color w:val="000000"/>
                <w:kern w:val="0"/>
                <w:sz w:val="24"/>
              </w:rPr>
              <w:t>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pPr>
              <w:widowControl/>
              <w:jc w:val="left"/>
              <w:rPr>
                <w:color w:val="000000"/>
                <w:kern w:val="0"/>
                <w:sz w:val="24"/>
              </w:rPr>
            </w:pPr>
            <w:r>
              <w:rPr>
                <w:color w:val="000000"/>
                <w:kern w:val="0"/>
                <w:sz w:val="24"/>
              </w:rPr>
              <w:t>3</w:t>
            </w:r>
            <w:r>
              <w:rPr>
                <w:rFonts w:hint="eastAsia"/>
                <w:color w:val="000000"/>
                <w:kern w:val="0"/>
                <w:sz w:val="24"/>
              </w:rPr>
              <w:t>）响应</w:t>
            </w:r>
            <w:r>
              <w:rPr>
                <w:color w:val="000000"/>
                <w:kern w:val="0"/>
                <w:sz w:val="24"/>
              </w:rPr>
              <w:t>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pPr>
              <w:widowControl/>
              <w:jc w:val="left"/>
              <w:rPr>
                <w:sz w:val="24"/>
              </w:rPr>
            </w:pPr>
            <w:r>
              <w:rPr>
                <w:rFonts w:hint="eastAsia"/>
                <w:sz w:val="24"/>
              </w:rPr>
              <w:t>4）</w:t>
            </w:r>
            <w:r>
              <w:rPr>
                <w:sz w:val="24"/>
              </w:rPr>
              <w:t>国家有特殊信息安全要求的项目，采购产品涉及无线局域网产品和含有无线局域网功能的计算机、通信设备、打印机、复印机、投影仪等产品的，</w:t>
            </w:r>
            <w:r>
              <w:rPr>
                <w:rFonts w:hint="eastAsia"/>
                <w:sz w:val="24"/>
              </w:rPr>
              <w:t>响应</w:t>
            </w:r>
            <w:r>
              <w:rPr>
                <w:sz w:val="24"/>
              </w:rPr>
              <w:t>产品须为符合国家无线局域网安全标准（GB 15629.11/1102）并通过国家产品认证的产品；</w:t>
            </w:r>
          </w:p>
          <w:p>
            <w:pPr>
              <w:widowControl/>
              <w:jc w:val="left"/>
              <w:rPr>
                <w:color w:val="000000"/>
                <w:kern w:val="0"/>
                <w:sz w:val="24"/>
              </w:rPr>
            </w:pPr>
            <w:r>
              <w:rPr>
                <w:sz w:val="24"/>
              </w:rPr>
              <w:t>5</w:t>
            </w:r>
            <w:r>
              <w:rPr>
                <w:rFonts w:hint="eastAsia"/>
                <w:sz w:val="24"/>
              </w:rPr>
              <w:t>）</w:t>
            </w:r>
            <w:r>
              <w:rPr>
                <w:sz w:val="24"/>
              </w:rPr>
              <w:t>项目中涉及涂料、胶黏剂、油墨、清洗剂等挥发性有机物产品，且属于强制性标准的，供应商应执行符合本市和国家的VOCs 含量限制标准</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15</w:t>
            </w:r>
          </w:p>
        </w:tc>
        <w:tc>
          <w:tcPr>
            <w:tcW w:w="976" w:type="pct"/>
            <w:vAlign w:val="center"/>
          </w:tcPr>
          <w:p>
            <w:pPr>
              <w:widowControl/>
              <w:jc w:val="left"/>
              <w:rPr>
                <w:color w:val="000000"/>
                <w:kern w:val="0"/>
                <w:sz w:val="24"/>
              </w:rPr>
            </w:pPr>
            <w:r>
              <w:rPr>
                <w:color w:val="000000"/>
                <w:kern w:val="0"/>
                <w:sz w:val="24"/>
              </w:rPr>
              <w:t>公平竞争</w:t>
            </w:r>
          </w:p>
        </w:tc>
        <w:tc>
          <w:tcPr>
            <w:tcW w:w="3620" w:type="pct"/>
            <w:vAlign w:val="center"/>
          </w:tcPr>
          <w:p>
            <w:pPr>
              <w:widowControl/>
              <w:jc w:val="left"/>
              <w:rPr>
                <w:color w:val="000000"/>
                <w:kern w:val="0"/>
                <w:sz w:val="24"/>
              </w:rPr>
            </w:pPr>
            <w:r>
              <w:rPr>
                <w:rFonts w:hint="eastAsia"/>
                <w:color w:val="000000"/>
                <w:sz w:val="24"/>
              </w:rPr>
              <w:t>供应商</w:t>
            </w:r>
            <w:r>
              <w:rPr>
                <w:color w:val="000000"/>
                <w:sz w:val="24"/>
              </w:rPr>
              <w:t>遵循公平竞争的原则，不存在恶意串通，妨碍其他</w:t>
            </w:r>
            <w:r>
              <w:rPr>
                <w:rFonts w:hint="eastAsia"/>
                <w:color w:val="000000"/>
                <w:sz w:val="24"/>
              </w:rPr>
              <w:t>供应商</w:t>
            </w:r>
            <w:r>
              <w:rPr>
                <w:color w:val="000000"/>
                <w:sz w:val="24"/>
              </w:rPr>
              <w:t>的竞争行为，不存在损害采购人或者其他</w:t>
            </w:r>
            <w:r>
              <w:rPr>
                <w:rFonts w:hint="eastAsia"/>
                <w:color w:val="000000"/>
                <w:sz w:val="24"/>
              </w:rPr>
              <w:t>供应商</w:t>
            </w:r>
            <w:r>
              <w:rPr>
                <w:color w:val="000000"/>
                <w:sz w:val="24"/>
              </w:rPr>
              <w:t>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16</w:t>
            </w:r>
          </w:p>
        </w:tc>
        <w:tc>
          <w:tcPr>
            <w:tcW w:w="976" w:type="pct"/>
            <w:vAlign w:val="center"/>
          </w:tcPr>
          <w:p>
            <w:pPr>
              <w:widowControl/>
              <w:jc w:val="left"/>
              <w:rPr>
                <w:color w:val="000000"/>
                <w:kern w:val="0"/>
                <w:sz w:val="24"/>
              </w:rPr>
            </w:pPr>
            <w:r>
              <w:rPr>
                <w:color w:val="000000"/>
                <w:kern w:val="0"/>
                <w:sz w:val="24"/>
              </w:rPr>
              <w:t>串通</w:t>
            </w:r>
            <w:r>
              <w:rPr>
                <w:rFonts w:hint="eastAsia"/>
                <w:color w:val="000000"/>
                <w:kern w:val="0"/>
                <w:sz w:val="24"/>
              </w:rPr>
              <w:t>报价</w:t>
            </w:r>
          </w:p>
        </w:tc>
        <w:tc>
          <w:tcPr>
            <w:tcW w:w="3620" w:type="pct"/>
            <w:vAlign w:val="center"/>
          </w:tcPr>
          <w:p>
            <w:pPr>
              <w:widowControl/>
              <w:jc w:val="left"/>
              <w:rPr>
                <w:color w:val="000000"/>
                <w:kern w:val="0"/>
                <w:sz w:val="24"/>
              </w:rPr>
            </w:pPr>
            <w:r>
              <w:rPr>
                <w:rFonts w:hint="eastAsia"/>
                <w:color w:val="000000"/>
                <w:sz w:val="24"/>
              </w:rPr>
              <w:t>不存在《政府采购货物和服务招标响应管理办法》视为供应商串通报价的情形：（一）不同供应商的响应文件由同一单位或者个人编制；（二）不同供应商委托同一单位或者个人办理响应事宜；（三）不同供应商的响应文件载明的项目管理成员或者联系人员为同一人；（四）不同供应商的响应文件异常一致或者响应报价呈规律 性差异；（五）不同供应商的响应文件相互混装；（六）不同供应商的报价保证金从同一单位或者个人的账户转出</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17</w:t>
            </w:r>
          </w:p>
        </w:tc>
        <w:tc>
          <w:tcPr>
            <w:tcW w:w="976" w:type="pct"/>
            <w:vAlign w:val="center"/>
          </w:tcPr>
          <w:p>
            <w:pPr>
              <w:widowControl/>
              <w:jc w:val="left"/>
              <w:rPr>
                <w:color w:val="000000"/>
                <w:kern w:val="0"/>
                <w:sz w:val="24"/>
              </w:rPr>
            </w:pPr>
            <w:r>
              <w:rPr>
                <w:color w:val="000000"/>
                <w:kern w:val="0"/>
                <w:sz w:val="24"/>
              </w:rPr>
              <w:t>附加条件</w:t>
            </w:r>
          </w:p>
        </w:tc>
        <w:tc>
          <w:tcPr>
            <w:tcW w:w="3620" w:type="pct"/>
            <w:vAlign w:val="center"/>
          </w:tcPr>
          <w:p>
            <w:pPr>
              <w:widowControl/>
              <w:jc w:val="left"/>
              <w:rPr>
                <w:color w:val="000000"/>
                <w:kern w:val="0"/>
                <w:sz w:val="24"/>
              </w:rPr>
            </w:pPr>
            <w:r>
              <w:rPr>
                <w:rFonts w:hint="eastAsia"/>
                <w:color w:val="000000"/>
                <w:kern w:val="0"/>
                <w:sz w:val="24"/>
              </w:rPr>
              <w:t>响应文件未</w:t>
            </w:r>
            <w:r>
              <w:rPr>
                <w:color w:val="000000"/>
                <w:kern w:val="0"/>
                <w:sz w:val="24"/>
              </w:rPr>
              <w:t>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rFonts w:hint="eastAsia"/>
                <w:color w:val="000000"/>
                <w:kern w:val="0"/>
                <w:sz w:val="24"/>
              </w:rPr>
              <w:t>1</w:t>
            </w:r>
            <w:r>
              <w:rPr>
                <w:color w:val="000000"/>
                <w:kern w:val="0"/>
                <w:sz w:val="24"/>
              </w:rPr>
              <w:t>8</w:t>
            </w:r>
          </w:p>
        </w:tc>
        <w:tc>
          <w:tcPr>
            <w:tcW w:w="976" w:type="pct"/>
            <w:vAlign w:val="center"/>
          </w:tcPr>
          <w:p>
            <w:pPr>
              <w:widowControl/>
              <w:jc w:val="left"/>
              <w:rPr>
                <w:color w:val="000000"/>
                <w:kern w:val="0"/>
                <w:sz w:val="24"/>
              </w:rPr>
            </w:pPr>
            <w:r>
              <w:rPr>
                <w:color w:val="000000"/>
                <w:kern w:val="0"/>
                <w:sz w:val="24"/>
              </w:rPr>
              <w:t>其他无效情形</w:t>
            </w:r>
          </w:p>
        </w:tc>
        <w:tc>
          <w:tcPr>
            <w:tcW w:w="3620" w:type="pct"/>
            <w:vAlign w:val="center"/>
          </w:tcPr>
          <w:p>
            <w:pPr>
              <w:widowControl/>
              <w:jc w:val="left"/>
              <w:rPr>
                <w:color w:val="000000"/>
                <w:kern w:val="0"/>
                <w:sz w:val="24"/>
              </w:rPr>
            </w:pPr>
            <w:r>
              <w:rPr>
                <w:rFonts w:hint="eastAsia"/>
                <w:color w:val="000000"/>
                <w:sz w:val="24"/>
              </w:rPr>
              <w:t>供应商</w:t>
            </w:r>
            <w:r>
              <w:rPr>
                <w:color w:val="000000"/>
                <w:sz w:val="24"/>
              </w:rPr>
              <w:t>、</w:t>
            </w:r>
            <w:r>
              <w:rPr>
                <w:rFonts w:hint="eastAsia"/>
                <w:color w:val="000000"/>
                <w:sz w:val="24"/>
              </w:rPr>
              <w:t>响应文件不存在</w:t>
            </w:r>
            <w:r>
              <w:rPr>
                <w:color w:val="000000"/>
                <w:sz w:val="24"/>
              </w:rPr>
              <w:t>不符合法律、法规和</w:t>
            </w:r>
            <w:r>
              <w:rPr>
                <w:rFonts w:hint="eastAsia"/>
                <w:color w:val="000000"/>
                <w:sz w:val="24"/>
              </w:rPr>
              <w:t>比选文件</w:t>
            </w:r>
            <w:r>
              <w:rPr>
                <w:color w:val="000000"/>
                <w:sz w:val="24"/>
              </w:rPr>
              <w:t>规定的其他无效情形。</w:t>
            </w:r>
          </w:p>
        </w:tc>
      </w:tr>
    </w:tbl>
    <w:p>
      <w:pPr>
        <w:tabs>
          <w:tab w:val="left" w:pos="1080"/>
          <w:tab w:val="left" w:pos="1589"/>
        </w:tabs>
        <w:snapToGrid w:val="0"/>
        <w:spacing w:line="360" w:lineRule="auto"/>
        <w:rPr>
          <w:rFonts w:ascii="宋体" w:hAnsi="宋体"/>
          <w:sz w:val="24"/>
        </w:rPr>
        <w:sectPr>
          <w:headerReference r:id="rId6" w:type="first"/>
          <w:footerReference r:id="rId8" w:type="first"/>
          <w:headerReference r:id="rId5" w:type="even"/>
          <w:footerReference r:id="rId7" w:type="even"/>
          <w:pgSz w:w="11907" w:h="16840"/>
          <w:pgMar w:top="1418" w:right="1134" w:bottom="1418" w:left="1701" w:header="851" w:footer="851" w:gutter="0"/>
          <w:cols w:space="720" w:num="1"/>
          <w:docGrid w:linePitch="462" w:charSpace="0"/>
        </w:sectPr>
      </w:pPr>
    </w:p>
    <w:p>
      <w:pPr>
        <w:numPr>
          <w:ilvl w:val="0"/>
          <w:numId w:val="10"/>
        </w:numPr>
        <w:tabs>
          <w:tab w:val="left" w:pos="360"/>
        </w:tabs>
        <w:snapToGrid w:val="0"/>
        <w:spacing w:line="360" w:lineRule="auto"/>
        <w:outlineLvl w:val="1"/>
        <w:rPr>
          <w:rFonts w:ascii="宋体" w:hAnsi="宋体"/>
          <w:sz w:val="24"/>
        </w:rPr>
      </w:pPr>
      <w:r>
        <w:rPr>
          <w:rFonts w:hint="eastAsia" w:ascii="宋体" w:hAnsi="宋体"/>
          <w:sz w:val="24"/>
        </w:rPr>
        <w:t>响应文件</w:t>
      </w:r>
      <w:r>
        <w:rPr>
          <w:rFonts w:ascii="宋体" w:hAnsi="宋体"/>
          <w:sz w:val="24"/>
        </w:rPr>
        <w:t>有关事项的澄清或者说明</w:t>
      </w:r>
    </w:p>
    <w:p>
      <w:pPr>
        <w:numPr>
          <w:ilvl w:val="1"/>
          <w:numId w:val="10"/>
        </w:numPr>
        <w:tabs>
          <w:tab w:val="left" w:pos="1080"/>
        </w:tabs>
        <w:snapToGrid w:val="0"/>
        <w:spacing w:line="360" w:lineRule="auto"/>
        <w:ind w:left="1077" w:hanging="720"/>
        <w:rPr>
          <w:rFonts w:ascii="宋体" w:hAnsi="宋体"/>
          <w:sz w:val="24"/>
        </w:rPr>
      </w:pPr>
      <w:r>
        <w:rPr>
          <w:rFonts w:ascii="宋体" w:hAnsi="宋体"/>
          <w:sz w:val="24"/>
        </w:rPr>
        <w:t>评标过程中，评标委员会将以书面形式要求</w:t>
      </w:r>
      <w:r>
        <w:rPr>
          <w:rFonts w:hint="eastAsia" w:ascii="宋体" w:hAnsi="宋体"/>
          <w:sz w:val="24"/>
        </w:rPr>
        <w:t>供应商</w:t>
      </w:r>
      <w:r>
        <w:rPr>
          <w:rFonts w:ascii="宋体" w:hAnsi="宋体"/>
          <w:sz w:val="24"/>
        </w:rPr>
        <w:t>对其</w:t>
      </w:r>
      <w:r>
        <w:rPr>
          <w:rFonts w:hint="eastAsia" w:ascii="宋体" w:hAnsi="宋体"/>
          <w:sz w:val="24"/>
        </w:rPr>
        <w:t>响应文件</w:t>
      </w:r>
      <w:r>
        <w:rPr>
          <w:rFonts w:ascii="宋体" w:hAnsi="宋体"/>
          <w:sz w:val="24"/>
        </w:rPr>
        <w:t>中含义不明确、同类问题表述不一致或者有明显文字和计算错误的内容，作出必要的澄清、说明或者补正。</w:t>
      </w:r>
      <w:r>
        <w:rPr>
          <w:rFonts w:hint="eastAsia" w:ascii="宋体" w:hAnsi="宋体"/>
          <w:sz w:val="24"/>
        </w:rPr>
        <w:t>供应商</w:t>
      </w:r>
      <w:r>
        <w:rPr>
          <w:rFonts w:ascii="宋体" w:hAnsi="宋体"/>
          <w:sz w:val="24"/>
        </w:rPr>
        <w:t>的澄清、说明或者补正应当采用书面形式，并加盖公章，或者由法定代表人或其授权的代表签字。</w:t>
      </w:r>
      <w:r>
        <w:rPr>
          <w:rFonts w:hint="eastAsia" w:ascii="宋体" w:hAnsi="宋体"/>
          <w:sz w:val="24"/>
        </w:rPr>
        <w:t>供应商</w:t>
      </w:r>
      <w:r>
        <w:rPr>
          <w:rFonts w:ascii="宋体" w:hAnsi="宋体"/>
          <w:sz w:val="24"/>
        </w:rPr>
        <w:t>的澄清、说明或者补正不得超出</w:t>
      </w:r>
      <w:r>
        <w:rPr>
          <w:rFonts w:hint="eastAsia" w:ascii="宋体" w:hAnsi="宋体"/>
          <w:sz w:val="24"/>
        </w:rPr>
        <w:t>响应文件</w:t>
      </w:r>
      <w:r>
        <w:rPr>
          <w:rFonts w:ascii="宋体" w:hAnsi="宋体"/>
          <w:sz w:val="24"/>
        </w:rPr>
        <w:t>的范围或者改变</w:t>
      </w:r>
      <w:r>
        <w:rPr>
          <w:rFonts w:hint="eastAsia" w:ascii="宋体" w:hAnsi="宋体"/>
          <w:sz w:val="24"/>
        </w:rPr>
        <w:t>响应文件</w:t>
      </w:r>
      <w:r>
        <w:rPr>
          <w:rFonts w:ascii="宋体" w:hAnsi="宋体"/>
          <w:sz w:val="24"/>
        </w:rPr>
        <w:t>的实质性内容。澄清文件将作为</w:t>
      </w:r>
      <w:r>
        <w:rPr>
          <w:rFonts w:hint="eastAsia" w:ascii="宋体" w:hAnsi="宋体"/>
          <w:sz w:val="24"/>
        </w:rPr>
        <w:t>响应文件</w:t>
      </w:r>
      <w:r>
        <w:rPr>
          <w:rFonts w:ascii="宋体" w:hAnsi="宋体"/>
          <w:sz w:val="24"/>
        </w:rPr>
        <w:t>内容的一部分。</w:t>
      </w:r>
    </w:p>
    <w:p>
      <w:pPr>
        <w:numPr>
          <w:ilvl w:val="1"/>
          <w:numId w:val="10"/>
        </w:numPr>
        <w:tabs>
          <w:tab w:val="left" w:pos="1080"/>
        </w:tabs>
        <w:snapToGrid w:val="0"/>
        <w:spacing w:line="360" w:lineRule="auto"/>
        <w:ind w:left="1077" w:hanging="720"/>
        <w:rPr>
          <w:rFonts w:ascii="宋体" w:hAnsi="宋体"/>
          <w:sz w:val="24"/>
        </w:rPr>
      </w:pPr>
      <w:r>
        <w:rPr>
          <w:rFonts w:ascii="宋体" w:hAnsi="宋体"/>
          <w:sz w:val="24"/>
        </w:rPr>
        <w:t>评标委员会认为</w:t>
      </w:r>
      <w:r>
        <w:rPr>
          <w:rFonts w:hint="eastAsia" w:ascii="宋体" w:hAnsi="宋体"/>
          <w:sz w:val="24"/>
        </w:rPr>
        <w:t>供应商</w:t>
      </w:r>
      <w:r>
        <w:rPr>
          <w:rFonts w:ascii="宋体" w:hAnsi="宋体"/>
          <w:sz w:val="24"/>
        </w:rPr>
        <w:t>的报价明显低于其他通过符合性审查</w:t>
      </w:r>
      <w:r>
        <w:rPr>
          <w:rFonts w:hint="eastAsia" w:ascii="宋体" w:hAnsi="宋体"/>
          <w:sz w:val="24"/>
        </w:rPr>
        <w:t>供应商</w:t>
      </w:r>
      <w:r>
        <w:rPr>
          <w:rFonts w:ascii="宋体" w:hAnsi="宋体"/>
          <w:sz w:val="24"/>
        </w:rPr>
        <w:t>的报价，有可能影响产品质量或者不能诚信履约的，有权要求该</w:t>
      </w:r>
      <w:r>
        <w:rPr>
          <w:rFonts w:hint="eastAsia" w:ascii="宋体" w:hAnsi="宋体"/>
          <w:sz w:val="24"/>
        </w:rPr>
        <w:t>供应商</w:t>
      </w:r>
      <w:r>
        <w:rPr>
          <w:rFonts w:ascii="宋体" w:hAnsi="宋体"/>
          <w:sz w:val="24"/>
        </w:rPr>
        <w:t>在评标现场合理的时间内提供书面说明，必要时提交相关证明材料；若</w:t>
      </w:r>
      <w:r>
        <w:rPr>
          <w:rFonts w:hint="eastAsia" w:ascii="宋体" w:hAnsi="宋体"/>
          <w:sz w:val="24"/>
        </w:rPr>
        <w:t>供应商</w:t>
      </w:r>
      <w:r>
        <w:rPr>
          <w:rFonts w:ascii="宋体" w:hAnsi="宋体"/>
          <w:sz w:val="24"/>
        </w:rPr>
        <w:t>不能证明其报价合理性，评标委员会将其作为</w:t>
      </w:r>
      <w:r>
        <w:rPr>
          <w:rFonts w:hint="eastAsia" w:ascii="宋体" w:hAnsi="宋体"/>
          <w:b/>
          <w:sz w:val="24"/>
        </w:rPr>
        <w:t>响应无效</w:t>
      </w:r>
      <w:r>
        <w:rPr>
          <w:rFonts w:ascii="宋体" w:hAnsi="宋体"/>
          <w:sz w:val="24"/>
        </w:rPr>
        <w:t>。</w:t>
      </w:r>
    </w:p>
    <w:p>
      <w:pPr>
        <w:numPr>
          <w:ilvl w:val="1"/>
          <w:numId w:val="10"/>
        </w:numPr>
        <w:tabs>
          <w:tab w:val="left" w:pos="1080"/>
        </w:tabs>
        <w:snapToGrid w:val="0"/>
        <w:spacing w:line="360" w:lineRule="auto"/>
        <w:ind w:left="1077" w:hanging="720"/>
        <w:rPr>
          <w:rFonts w:ascii="宋体" w:hAnsi="宋体"/>
          <w:sz w:val="24"/>
        </w:rPr>
      </w:pPr>
      <w:r>
        <w:rPr>
          <w:rFonts w:hint="eastAsia" w:ascii="宋体" w:hAnsi="宋体"/>
          <w:sz w:val="24"/>
        </w:rPr>
        <w:t>响应</w:t>
      </w:r>
      <w:r>
        <w:rPr>
          <w:rFonts w:ascii="宋体" w:hAnsi="宋体"/>
          <w:sz w:val="24"/>
        </w:rPr>
        <w:t>报价须包含</w:t>
      </w:r>
      <w:r>
        <w:rPr>
          <w:rFonts w:hint="eastAsia" w:ascii="宋体" w:hAnsi="宋体"/>
          <w:sz w:val="24"/>
        </w:rPr>
        <w:t>比选文件</w:t>
      </w:r>
      <w:r>
        <w:rPr>
          <w:rFonts w:ascii="宋体" w:hAnsi="宋体"/>
          <w:sz w:val="24"/>
        </w:rPr>
        <w:t>全部内容，如分项报价表有缺漏视为已含在其他各项报价中，将不对</w:t>
      </w:r>
      <w:r>
        <w:rPr>
          <w:rFonts w:hint="eastAsia" w:ascii="宋体" w:hAnsi="宋体"/>
          <w:sz w:val="24"/>
        </w:rPr>
        <w:t>响应</w:t>
      </w:r>
      <w:r>
        <w:rPr>
          <w:rFonts w:ascii="宋体" w:hAnsi="宋体"/>
          <w:sz w:val="24"/>
        </w:rPr>
        <w:t>总价进行调整。评标委员会有权要求</w:t>
      </w:r>
      <w:r>
        <w:rPr>
          <w:rFonts w:hint="eastAsia" w:ascii="宋体" w:hAnsi="宋体"/>
          <w:sz w:val="24"/>
        </w:rPr>
        <w:t>供应商</w:t>
      </w:r>
      <w:r>
        <w:rPr>
          <w:rFonts w:ascii="宋体" w:hAnsi="宋体"/>
          <w:sz w:val="24"/>
        </w:rPr>
        <w:t>在评标现场合理的时间内对此进行书面确认，</w:t>
      </w:r>
      <w:r>
        <w:rPr>
          <w:rFonts w:hint="eastAsia" w:ascii="宋体" w:hAnsi="宋体"/>
          <w:sz w:val="24"/>
        </w:rPr>
        <w:t>供应商</w:t>
      </w:r>
      <w:r>
        <w:rPr>
          <w:rFonts w:ascii="宋体" w:hAnsi="宋体"/>
          <w:sz w:val="24"/>
        </w:rPr>
        <w:t>不确认的，视为将一个采购包中的内容拆开</w:t>
      </w:r>
      <w:r>
        <w:rPr>
          <w:rFonts w:hint="eastAsia" w:ascii="宋体" w:hAnsi="宋体"/>
          <w:sz w:val="24"/>
        </w:rPr>
        <w:t>响应</w:t>
      </w:r>
      <w:r>
        <w:rPr>
          <w:rFonts w:ascii="宋体" w:hAnsi="宋体"/>
          <w:sz w:val="24"/>
        </w:rPr>
        <w:t>，其</w:t>
      </w:r>
      <w:r>
        <w:rPr>
          <w:rFonts w:hint="eastAsia" w:ascii="宋体" w:hAnsi="宋体"/>
          <w:b/>
          <w:sz w:val="24"/>
        </w:rPr>
        <w:t>响应</w:t>
      </w:r>
      <w:r>
        <w:rPr>
          <w:rFonts w:ascii="宋体" w:hAnsi="宋体"/>
          <w:b/>
          <w:sz w:val="24"/>
        </w:rPr>
        <w:t>无效</w:t>
      </w:r>
      <w:r>
        <w:rPr>
          <w:rFonts w:ascii="宋体" w:hAnsi="宋体"/>
          <w:sz w:val="24"/>
        </w:rPr>
        <w:t>。</w:t>
      </w:r>
    </w:p>
    <w:p>
      <w:pPr>
        <w:numPr>
          <w:ilvl w:val="1"/>
          <w:numId w:val="10"/>
        </w:numPr>
        <w:tabs>
          <w:tab w:val="left" w:pos="1080"/>
        </w:tabs>
        <w:snapToGrid w:val="0"/>
        <w:spacing w:line="360" w:lineRule="auto"/>
        <w:ind w:left="1077" w:hanging="720"/>
        <w:rPr>
          <w:rFonts w:ascii="宋体" w:hAnsi="宋体"/>
          <w:sz w:val="24"/>
        </w:rPr>
      </w:pPr>
      <w:r>
        <w:rPr>
          <w:rFonts w:hint="eastAsia" w:ascii="宋体" w:hAnsi="宋体"/>
          <w:sz w:val="24"/>
        </w:rPr>
        <w:t>响应文件</w:t>
      </w:r>
      <w:r>
        <w:rPr>
          <w:rFonts w:ascii="宋体" w:hAnsi="宋体"/>
          <w:sz w:val="24"/>
        </w:rPr>
        <w:t>报价出现前后不一致的，按照下列规定修正：</w:t>
      </w:r>
    </w:p>
    <w:p>
      <w:pPr>
        <w:numPr>
          <w:ilvl w:val="2"/>
          <w:numId w:val="10"/>
        </w:numPr>
        <w:tabs>
          <w:tab w:val="left" w:pos="1080"/>
          <w:tab w:val="left" w:pos="1589"/>
          <w:tab w:val="left" w:pos="2035"/>
          <w:tab w:val="left" w:pos="2114"/>
        </w:tabs>
        <w:snapToGrid w:val="0"/>
        <w:spacing w:line="360" w:lineRule="auto"/>
        <w:ind w:left="2035"/>
        <w:rPr>
          <w:rFonts w:ascii="宋体" w:hAnsi="宋体"/>
          <w:sz w:val="24"/>
        </w:rPr>
      </w:pPr>
      <w:r>
        <w:rPr>
          <w:rFonts w:hint="eastAsia" w:ascii="宋体" w:hAnsi="宋体"/>
          <w:sz w:val="24"/>
        </w:rPr>
        <w:t>比选文件</w:t>
      </w:r>
      <w:r>
        <w:rPr>
          <w:rFonts w:ascii="宋体" w:hAnsi="宋体"/>
          <w:sz w:val="24"/>
        </w:rPr>
        <w:t>对于报价修正是否另有规定：</w:t>
      </w:r>
    </w:p>
    <w:p>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□有，具体规定为：______________</w:t>
      </w:r>
    </w:p>
    <w:p>
      <w:pPr>
        <w:tabs>
          <w:tab w:val="left" w:pos="1080"/>
          <w:tab w:val="left" w:pos="1589"/>
          <w:tab w:val="left" w:pos="2035"/>
          <w:tab w:val="left" w:pos="2114"/>
        </w:tabs>
        <w:snapToGrid w:val="0"/>
        <w:spacing w:line="360" w:lineRule="auto"/>
        <w:ind w:left="2035"/>
        <w:rPr>
          <w:rFonts w:ascii="宋体" w:hAnsi="宋体"/>
          <w:sz w:val="24"/>
        </w:rPr>
      </w:pPr>
      <w:r>
        <w:rPr>
          <w:rFonts w:hint="eastAsia" w:ascii="宋体" w:hAnsi="宋体"/>
          <w:sz w:val="24"/>
        </w:rPr>
        <w:t>■</w:t>
      </w:r>
      <w:r>
        <w:rPr>
          <w:rFonts w:ascii="宋体" w:hAnsi="宋体"/>
          <w:sz w:val="24"/>
        </w:rPr>
        <w:t>无，按下述2.4.2-2.4.7项规定修正。</w:t>
      </w:r>
    </w:p>
    <w:p>
      <w:pPr>
        <w:numPr>
          <w:ilvl w:val="2"/>
          <w:numId w:val="10"/>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单独递交的</w:t>
      </w:r>
      <w:r>
        <w:rPr>
          <w:rFonts w:hint="eastAsia" w:ascii="宋体" w:hAnsi="宋体"/>
          <w:color w:val="000000"/>
          <w:sz w:val="24"/>
        </w:rPr>
        <w:t>开选</w:t>
      </w:r>
      <w:r>
        <w:rPr>
          <w:rFonts w:ascii="宋体" w:hAnsi="宋体"/>
          <w:color w:val="000000"/>
          <w:sz w:val="24"/>
        </w:rPr>
        <w:t>一览表（报价表）与</w:t>
      </w:r>
      <w:r>
        <w:rPr>
          <w:rFonts w:hint="eastAsia" w:ascii="宋体" w:hAnsi="宋体"/>
          <w:color w:val="000000"/>
          <w:sz w:val="24"/>
        </w:rPr>
        <w:t>响应文件</w:t>
      </w:r>
      <w:r>
        <w:rPr>
          <w:rFonts w:ascii="宋体" w:hAnsi="宋体"/>
          <w:color w:val="000000"/>
          <w:sz w:val="24"/>
        </w:rPr>
        <w:t>中</w:t>
      </w:r>
      <w:r>
        <w:rPr>
          <w:rFonts w:hint="eastAsia" w:ascii="宋体" w:hAnsi="宋体"/>
          <w:color w:val="000000"/>
          <w:sz w:val="24"/>
        </w:rPr>
        <w:t>开选</w:t>
      </w:r>
      <w:r>
        <w:rPr>
          <w:rFonts w:ascii="宋体" w:hAnsi="宋体"/>
          <w:color w:val="000000"/>
          <w:sz w:val="24"/>
        </w:rPr>
        <w:t>一览表（报价表）内容不一致的，以单独递交的</w:t>
      </w:r>
      <w:r>
        <w:rPr>
          <w:rFonts w:hint="eastAsia" w:ascii="宋体" w:hAnsi="宋体"/>
          <w:color w:val="000000"/>
          <w:sz w:val="24"/>
        </w:rPr>
        <w:t>开选</w:t>
      </w:r>
      <w:r>
        <w:rPr>
          <w:rFonts w:ascii="宋体" w:hAnsi="宋体"/>
          <w:color w:val="000000"/>
          <w:sz w:val="24"/>
        </w:rPr>
        <w:t>一览表（报价表）为准；</w:t>
      </w:r>
    </w:p>
    <w:p>
      <w:pPr>
        <w:numPr>
          <w:ilvl w:val="2"/>
          <w:numId w:val="10"/>
        </w:numPr>
        <w:tabs>
          <w:tab w:val="left" w:pos="2035"/>
          <w:tab w:val="left" w:pos="2114"/>
          <w:tab w:val="left" w:pos="2977"/>
        </w:tabs>
        <w:snapToGrid w:val="0"/>
        <w:spacing w:line="360" w:lineRule="auto"/>
        <w:ind w:left="2035"/>
        <w:rPr>
          <w:rFonts w:ascii="宋体" w:hAnsi="宋体"/>
          <w:color w:val="000000"/>
          <w:sz w:val="24"/>
        </w:rPr>
      </w:pPr>
      <w:r>
        <w:rPr>
          <w:rFonts w:hint="eastAsia" w:ascii="宋体" w:hAnsi="宋体"/>
          <w:color w:val="000000"/>
          <w:sz w:val="24"/>
        </w:rPr>
        <w:t>响应文件</w:t>
      </w:r>
      <w:r>
        <w:rPr>
          <w:rFonts w:ascii="宋体" w:hAnsi="宋体"/>
          <w:color w:val="000000"/>
          <w:sz w:val="24"/>
        </w:rPr>
        <w:t>中</w:t>
      </w:r>
      <w:r>
        <w:rPr>
          <w:rFonts w:hint="eastAsia" w:ascii="宋体" w:hAnsi="宋体"/>
          <w:color w:val="000000"/>
          <w:sz w:val="24"/>
        </w:rPr>
        <w:t>开选</w:t>
      </w:r>
      <w:r>
        <w:rPr>
          <w:rFonts w:ascii="宋体" w:hAnsi="宋体"/>
          <w:color w:val="000000"/>
          <w:sz w:val="24"/>
        </w:rPr>
        <w:t>一览表（报价表）内容与</w:t>
      </w:r>
      <w:r>
        <w:rPr>
          <w:rFonts w:hint="eastAsia" w:ascii="宋体" w:hAnsi="宋体"/>
          <w:color w:val="000000"/>
          <w:sz w:val="24"/>
        </w:rPr>
        <w:t>响应文件</w:t>
      </w:r>
      <w:r>
        <w:rPr>
          <w:rFonts w:ascii="宋体" w:hAnsi="宋体"/>
          <w:color w:val="000000"/>
          <w:sz w:val="24"/>
        </w:rPr>
        <w:t>中相应内容不一致的，以</w:t>
      </w:r>
      <w:r>
        <w:rPr>
          <w:rFonts w:hint="eastAsia" w:ascii="宋体" w:hAnsi="宋体"/>
          <w:color w:val="000000"/>
          <w:sz w:val="24"/>
        </w:rPr>
        <w:t>开选</w:t>
      </w:r>
      <w:r>
        <w:rPr>
          <w:rFonts w:ascii="宋体" w:hAnsi="宋体"/>
          <w:color w:val="000000"/>
          <w:sz w:val="24"/>
        </w:rPr>
        <w:t>一览表（报价表）为准；</w:t>
      </w:r>
    </w:p>
    <w:p>
      <w:pPr>
        <w:numPr>
          <w:ilvl w:val="2"/>
          <w:numId w:val="10"/>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大写金额和小写金额不一致的，以大写金额为准；</w:t>
      </w:r>
    </w:p>
    <w:p>
      <w:pPr>
        <w:numPr>
          <w:ilvl w:val="2"/>
          <w:numId w:val="10"/>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单价金额小数点或者百分比有明显错位的，以</w:t>
      </w:r>
      <w:r>
        <w:rPr>
          <w:rFonts w:hint="eastAsia" w:ascii="宋体" w:hAnsi="宋体"/>
          <w:color w:val="000000"/>
          <w:sz w:val="24"/>
        </w:rPr>
        <w:t>开选</w:t>
      </w:r>
      <w:r>
        <w:rPr>
          <w:rFonts w:ascii="宋体" w:hAnsi="宋体"/>
          <w:color w:val="000000"/>
          <w:sz w:val="24"/>
        </w:rPr>
        <w:t>一览表的总价为准，并修改单价；</w:t>
      </w:r>
    </w:p>
    <w:p>
      <w:pPr>
        <w:numPr>
          <w:ilvl w:val="2"/>
          <w:numId w:val="10"/>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总价金额与按单价汇总金额不一致的，以单价金额计算结果为准。</w:t>
      </w:r>
    </w:p>
    <w:p>
      <w:pPr>
        <w:numPr>
          <w:ilvl w:val="2"/>
          <w:numId w:val="10"/>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同时出现两种以上不一致的，按照前款规定的顺序修正。修正后的报价经</w:t>
      </w:r>
      <w:r>
        <w:rPr>
          <w:rFonts w:hint="eastAsia" w:ascii="宋体" w:hAnsi="宋体"/>
          <w:sz w:val="24"/>
        </w:rPr>
        <w:t>供应商</w:t>
      </w:r>
      <w:r>
        <w:rPr>
          <w:rFonts w:ascii="宋体" w:hAnsi="宋体"/>
          <w:sz w:val="24"/>
        </w:rPr>
        <w:t>书面确认后产生约束力，</w:t>
      </w:r>
      <w:r>
        <w:rPr>
          <w:rFonts w:hint="eastAsia" w:ascii="宋体" w:hAnsi="宋体"/>
          <w:sz w:val="24"/>
        </w:rPr>
        <w:t>供应商</w:t>
      </w:r>
      <w:r>
        <w:rPr>
          <w:rFonts w:ascii="宋体" w:hAnsi="宋体"/>
          <w:sz w:val="24"/>
        </w:rPr>
        <w:t>不确认的，其</w:t>
      </w:r>
      <w:r>
        <w:rPr>
          <w:rFonts w:hint="eastAsia" w:ascii="宋体" w:hAnsi="宋体"/>
          <w:b/>
          <w:sz w:val="24"/>
        </w:rPr>
        <w:t>响应</w:t>
      </w:r>
      <w:r>
        <w:rPr>
          <w:rFonts w:ascii="宋体" w:hAnsi="宋体"/>
          <w:b/>
          <w:sz w:val="24"/>
        </w:rPr>
        <w:t>无效</w:t>
      </w:r>
      <w:r>
        <w:rPr>
          <w:rFonts w:ascii="宋体" w:hAnsi="宋体"/>
          <w:sz w:val="24"/>
        </w:rPr>
        <w:t>。</w:t>
      </w:r>
    </w:p>
    <w:p>
      <w:pPr>
        <w:numPr>
          <w:ilvl w:val="1"/>
          <w:numId w:val="10"/>
        </w:numPr>
        <w:tabs>
          <w:tab w:val="left" w:pos="1080"/>
        </w:tabs>
        <w:snapToGrid w:val="0"/>
        <w:spacing w:line="360" w:lineRule="auto"/>
        <w:ind w:left="1077" w:hanging="720"/>
        <w:rPr>
          <w:rFonts w:ascii="宋体" w:hAnsi="宋体"/>
          <w:sz w:val="24"/>
        </w:rPr>
      </w:pPr>
      <w:r>
        <w:rPr>
          <w:rFonts w:ascii="宋体" w:hAnsi="宋体"/>
          <w:sz w:val="24"/>
        </w:rPr>
        <w:t>落实政府采购政策的价格调整：只有符合第二章《</w:t>
      </w:r>
      <w:r>
        <w:rPr>
          <w:rFonts w:hint="eastAsia" w:ascii="宋体" w:hAnsi="宋体"/>
          <w:sz w:val="24"/>
        </w:rPr>
        <w:t>供应商</w:t>
      </w:r>
      <w:r>
        <w:rPr>
          <w:rFonts w:ascii="宋体" w:hAnsi="宋体"/>
          <w:sz w:val="24"/>
        </w:rPr>
        <w:t>须知》5.2条规定情形的，可以享受中小企业扶持政策，用扣除后的价格参加评审；否则，评标时价格不予扣除。</w:t>
      </w:r>
    </w:p>
    <w:p>
      <w:pPr>
        <w:numPr>
          <w:ilvl w:val="2"/>
          <w:numId w:val="10"/>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对于未预留份额专门面向中小企业采购的采购项目，以及预留份额项目中的非预留部分采购包，对小微企业报价给予</w:t>
      </w:r>
      <w:r>
        <w:rPr>
          <w:rFonts w:hint="eastAsia" w:ascii="宋体" w:hAnsi="宋体"/>
          <w:sz w:val="24"/>
          <w:u w:val="single"/>
        </w:rPr>
        <w:t>10</w:t>
      </w:r>
      <w:r>
        <w:rPr>
          <w:rFonts w:ascii="宋体" w:hAnsi="宋体"/>
          <w:sz w:val="24"/>
          <w:u w:val="single"/>
        </w:rPr>
        <w:t>%</w:t>
      </w:r>
      <w:r>
        <w:rPr>
          <w:rFonts w:ascii="宋体" w:hAnsi="宋体"/>
          <w:sz w:val="24"/>
        </w:rPr>
        <w:t>的扣除，用扣除后的价格参加评审。</w:t>
      </w:r>
    </w:p>
    <w:p>
      <w:pPr>
        <w:numPr>
          <w:ilvl w:val="2"/>
          <w:numId w:val="10"/>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4</w:t>
      </w:r>
      <w:r>
        <w:rPr>
          <w:sz w:val="24"/>
          <w:u w:val="single"/>
        </w:rPr>
        <w:t>%</w:t>
      </w:r>
      <w:r>
        <w:rPr>
          <w:sz w:val="24"/>
        </w:rPr>
        <w:t>的扣除，用扣除后的价格参加评审。</w:t>
      </w:r>
    </w:p>
    <w:p>
      <w:pPr>
        <w:numPr>
          <w:ilvl w:val="2"/>
          <w:numId w:val="10"/>
        </w:numPr>
        <w:tabs>
          <w:tab w:val="left" w:pos="1080"/>
          <w:tab w:val="left" w:pos="1589"/>
          <w:tab w:val="left" w:pos="2035"/>
        </w:tabs>
        <w:snapToGrid w:val="0"/>
        <w:spacing w:line="360" w:lineRule="auto"/>
        <w:ind w:left="2035"/>
        <w:rPr>
          <w:rFonts w:ascii="宋体" w:hAnsi="宋体"/>
          <w:sz w:val="24"/>
        </w:rPr>
      </w:pPr>
      <w:r>
        <w:rPr>
          <w:rFonts w:ascii="宋体" w:hAnsi="宋体"/>
          <w:sz w:val="24"/>
        </w:rPr>
        <w:t>组成联合体或者接受分包的小微企业与联合体内其他企业、分包企业之间存在直接控股、管理关系的，不享受价格扣除优惠政策。</w:t>
      </w:r>
    </w:p>
    <w:p>
      <w:pPr>
        <w:numPr>
          <w:ilvl w:val="2"/>
          <w:numId w:val="10"/>
        </w:numPr>
        <w:tabs>
          <w:tab w:val="left" w:pos="1080"/>
          <w:tab w:val="left" w:pos="1589"/>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pPr>
        <w:numPr>
          <w:ilvl w:val="2"/>
          <w:numId w:val="10"/>
        </w:numPr>
        <w:tabs>
          <w:tab w:val="left" w:pos="1080"/>
          <w:tab w:val="left" w:pos="1589"/>
          <w:tab w:val="left" w:pos="2035"/>
        </w:tabs>
        <w:snapToGrid w:val="0"/>
        <w:spacing w:line="360" w:lineRule="auto"/>
        <w:ind w:left="2035"/>
        <w:rPr>
          <w:rFonts w:ascii="宋体" w:hAnsi="宋体"/>
          <w:sz w:val="24"/>
        </w:rPr>
      </w:pPr>
      <w:r>
        <w:rPr>
          <w:rFonts w:ascii="宋体" w:hAnsi="宋体"/>
          <w:color w:val="000000"/>
          <w:sz w:val="24"/>
        </w:rPr>
        <w:t>中小企业参加政府采购活动，应当按照</w:t>
      </w:r>
      <w:r>
        <w:rPr>
          <w:rFonts w:hint="eastAsia" w:ascii="宋体" w:hAnsi="宋体"/>
          <w:color w:val="000000"/>
          <w:sz w:val="24"/>
        </w:rPr>
        <w:t>比选文件</w:t>
      </w:r>
      <w:r>
        <w:rPr>
          <w:rFonts w:ascii="宋体" w:hAnsi="宋体"/>
          <w:color w:val="000000"/>
          <w:sz w:val="24"/>
        </w:rPr>
        <w:t>给定的格式出具《中小企业声明函》，否则不得享受相关中小企业扶持政策。</w:t>
      </w:r>
    </w:p>
    <w:p>
      <w:pPr>
        <w:numPr>
          <w:ilvl w:val="2"/>
          <w:numId w:val="10"/>
        </w:numPr>
        <w:tabs>
          <w:tab w:val="left" w:pos="1080"/>
          <w:tab w:val="left" w:pos="1589"/>
          <w:tab w:val="left" w:pos="2035"/>
        </w:tabs>
        <w:snapToGrid w:val="0"/>
        <w:spacing w:line="360" w:lineRule="auto"/>
        <w:ind w:left="2035"/>
        <w:rPr>
          <w:rFonts w:ascii="宋体" w:hAnsi="宋体"/>
          <w:sz w:val="24"/>
        </w:rPr>
      </w:pPr>
      <w:r>
        <w:rPr>
          <w:rFonts w:ascii="宋体" w:hAnsi="宋体"/>
          <w:sz w:val="24"/>
        </w:rPr>
        <w:t>监狱企业提供了由省级以上监狱管理局（北京市含教育矫治局）、戒毒管理局（含新疆生产建设兵团）出具的属于监狱企业的证明文件的，视同小微企业。</w:t>
      </w:r>
    </w:p>
    <w:p>
      <w:pPr>
        <w:numPr>
          <w:ilvl w:val="2"/>
          <w:numId w:val="10"/>
        </w:numPr>
        <w:tabs>
          <w:tab w:val="left" w:pos="1080"/>
          <w:tab w:val="left" w:pos="1589"/>
          <w:tab w:val="left" w:pos="2035"/>
        </w:tabs>
        <w:snapToGrid w:val="0"/>
        <w:spacing w:line="360" w:lineRule="auto"/>
        <w:ind w:left="2035"/>
        <w:rPr>
          <w:rFonts w:ascii="宋体" w:hAnsi="宋体"/>
          <w:sz w:val="24"/>
        </w:rPr>
      </w:pPr>
      <w:r>
        <w:rPr>
          <w:rFonts w:ascii="宋体" w:hAnsi="宋体"/>
          <w:sz w:val="24"/>
        </w:rPr>
        <w:t>残疾人福利性单位按</w:t>
      </w:r>
      <w:r>
        <w:rPr>
          <w:rFonts w:hint="eastAsia" w:ascii="宋体" w:hAnsi="宋体"/>
          <w:sz w:val="24"/>
        </w:rPr>
        <w:t>比选文件</w:t>
      </w:r>
      <w:r>
        <w:rPr>
          <w:rFonts w:ascii="宋体" w:hAnsi="宋体"/>
          <w:sz w:val="24"/>
        </w:rPr>
        <w:t>要求提供了《残疾人福利性单位声明函》（见附件）的，视同小微企业。</w:t>
      </w:r>
    </w:p>
    <w:p>
      <w:pPr>
        <w:numPr>
          <w:ilvl w:val="2"/>
          <w:numId w:val="10"/>
        </w:numPr>
        <w:tabs>
          <w:tab w:val="left" w:pos="1080"/>
          <w:tab w:val="left" w:pos="1589"/>
          <w:tab w:val="left" w:pos="2014"/>
          <w:tab w:val="clear" w:pos="1980"/>
        </w:tabs>
        <w:snapToGrid w:val="0"/>
        <w:spacing w:line="360" w:lineRule="auto"/>
        <w:ind w:left="2035"/>
        <w:rPr>
          <w:rFonts w:ascii="宋体" w:hAnsi="宋体"/>
          <w:sz w:val="24"/>
        </w:rPr>
      </w:pPr>
      <w:r>
        <w:rPr>
          <w:rFonts w:ascii="宋体" w:hAnsi="宋体"/>
          <w:sz w:val="24"/>
        </w:rPr>
        <w:t>若</w:t>
      </w:r>
      <w:r>
        <w:rPr>
          <w:rFonts w:hint="eastAsia" w:ascii="宋体" w:hAnsi="宋体"/>
          <w:sz w:val="24"/>
        </w:rPr>
        <w:t>供应商</w:t>
      </w:r>
      <w:r>
        <w:rPr>
          <w:rFonts w:ascii="宋体" w:hAnsi="宋体"/>
          <w:sz w:val="24"/>
        </w:rPr>
        <w:t>同时属于小型或微型企业、监狱企业、残疾人福利性单位中的两种及以上，将不重复享受小微企业价格扣减的优惠政策。</w:t>
      </w:r>
    </w:p>
    <w:p>
      <w:pPr>
        <w:numPr>
          <w:ilvl w:val="0"/>
          <w:numId w:val="10"/>
        </w:numPr>
        <w:tabs>
          <w:tab w:val="left" w:pos="360"/>
        </w:tabs>
        <w:snapToGrid w:val="0"/>
        <w:spacing w:line="360" w:lineRule="auto"/>
        <w:outlineLvl w:val="1"/>
        <w:rPr>
          <w:rFonts w:ascii="宋体" w:hAnsi="宋体"/>
          <w:sz w:val="24"/>
        </w:rPr>
      </w:pPr>
      <w:r>
        <w:rPr>
          <w:rFonts w:hint="eastAsia" w:ascii="宋体" w:hAnsi="宋体"/>
          <w:sz w:val="24"/>
        </w:rPr>
        <w:t>响应文件</w:t>
      </w:r>
      <w:r>
        <w:rPr>
          <w:rFonts w:ascii="宋体" w:hAnsi="宋体"/>
          <w:sz w:val="24"/>
        </w:rPr>
        <w:t>的比较和评价</w:t>
      </w:r>
      <w:bookmarkEnd w:id="616"/>
      <w:bookmarkEnd w:id="617"/>
    </w:p>
    <w:p>
      <w:pPr>
        <w:numPr>
          <w:ilvl w:val="1"/>
          <w:numId w:val="10"/>
        </w:numPr>
        <w:tabs>
          <w:tab w:val="left" w:pos="1080"/>
        </w:tabs>
        <w:snapToGrid w:val="0"/>
        <w:spacing w:line="360" w:lineRule="auto"/>
        <w:ind w:left="1077" w:hanging="720"/>
        <w:rPr>
          <w:rFonts w:ascii="宋体" w:hAnsi="宋体"/>
          <w:sz w:val="24"/>
        </w:rPr>
      </w:pPr>
      <w:r>
        <w:rPr>
          <w:rFonts w:ascii="宋体" w:hAnsi="宋体"/>
          <w:sz w:val="24"/>
        </w:rPr>
        <w:t>评标委员会将按照</w:t>
      </w:r>
      <w:r>
        <w:rPr>
          <w:rFonts w:hint="eastAsia" w:ascii="宋体" w:hAnsi="宋体"/>
          <w:sz w:val="24"/>
        </w:rPr>
        <w:t>比选文件</w:t>
      </w:r>
      <w:r>
        <w:rPr>
          <w:rFonts w:ascii="宋体" w:hAnsi="宋体"/>
          <w:sz w:val="24"/>
        </w:rPr>
        <w:t>中规定的评标方法和标准，对符合性审查合格的</w:t>
      </w:r>
      <w:r>
        <w:rPr>
          <w:rFonts w:hint="eastAsia" w:ascii="宋体" w:hAnsi="宋体"/>
          <w:sz w:val="24"/>
        </w:rPr>
        <w:t>响应文件</w:t>
      </w:r>
      <w:r>
        <w:rPr>
          <w:rFonts w:ascii="宋体" w:hAnsi="宋体"/>
          <w:sz w:val="24"/>
        </w:rPr>
        <w:t>进行商务和技术评估，综合比较与评价；未通过符合性审查的</w:t>
      </w:r>
      <w:r>
        <w:rPr>
          <w:rFonts w:hint="eastAsia" w:ascii="宋体" w:hAnsi="宋体"/>
          <w:sz w:val="24"/>
        </w:rPr>
        <w:t>响应文件</w:t>
      </w:r>
      <w:r>
        <w:rPr>
          <w:rFonts w:ascii="宋体" w:hAnsi="宋体"/>
          <w:sz w:val="24"/>
        </w:rPr>
        <w:t>不得进入比较与评价。</w:t>
      </w:r>
    </w:p>
    <w:p>
      <w:pPr>
        <w:numPr>
          <w:ilvl w:val="1"/>
          <w:numId w:val="10"/>
        </w:numPr>
        <w:tabs>
          <w:tab w:val="left" w:pos="1080"/>
        </w:tabs>
        <w:snapToGrid w:val="0"/>
        <w:spacing w:line="360" w:lineRule="auto"/>
        <w:ind w:left="1077" w:hanging="720"/>
        <w:rPr>
          <w:rFonts w:ascii="宋体" w:hAnsi="宋体"/>
          <w:sz w:val="24"/>
        </w:rPr>
      </w:pPr>
      <w:r>
        <w:rPr>
          <w:rFonts w:ascii="宋体" w:hAnsi="宋体"/>
          <w:sz w:val="24"/>
        </w:rPr>
        <w:t>评标方法和评标标准</w:t>
      </w:r>
    </w:p>
    <w:p>
      <w:pPr>
        <w:numPr>
          <w:ilvl w:val="2"/>
          <w:numId w:val="10"/>
        </w:numPr>
        <w:tabs>
          <w:tab w:val="left" w:pos="1080"/>
          <w:tab w:val="left" w:pos="1589"/>
          <w:tab w:val="left" w:pos="2035"/>
        </w:tabs>
        <w:snapToGrid w:val="0"/>
        <w:spacing w:line="360" w:lineRule="auto"/>
        <w:ind w:left="2035"/>
        <w:rPr>
          <w:rFonts w:ascii="宋体" w:hAnsi="宋体"/>
          <w:sz w:val="24"/>
        </w:rPr>
      </w:pPr>
      <w:r>
        <w:rPr>
          <w:rFonts w:ascii="宋体" w:hAnsi="宋体"/>
          <w:sz w:val="24"/>
        </w:rPr>
        <w:t>本项目采用的评标方法为：</w:t>
      </w:r>
    </w:p>
    <w:p>
      <w:pPr>
        <w:tabs>
          <w:tab w:val="left" w:pos="900"/>
          <w:tab w:val="left" w:pos="1589"/>
          <w:tab w:val="left" w:pos="1701"/>
        </w:tabs>
        <w:snapToGrid w:val="0"/>
        <w:spacing w:line="360" w:lineRule="auto"/>
        <w:ind w:left="1985"/>
        <w:rPr>
          <w:rFonts w:ascii="宋体" w:hAnsi="宋体"/>
          <w:sz w:val="24"/>
        </w:rPr>
      </w:pPr>
      <w:r>
        <w:rPr>
          <w:rFonts w:hint="eastAsia" w:ascii="宋体" w:hAnsi="宋体"/>
          <w:sz w:val="24"/>
        </w:rPr>
        <w:t>■</w:t>
      </w:r>
      <w:r>
        <w:rPr>
          <w:rFonts w:ascii="宋体" w:hAnsi="宋体"/>
          <w:sz w:val="24"/>
        </w:rPr>
        <w:t>综合评分法，指</w:t>
      </w:r>
      <w:r>
        <w:rPr>
          <w:rFonts w:hint="eastAsia" w:ascii="宋体" w:hAnsi="宋体"/>
          <w:sz w:val="24"/>
        </w:rPr>
        <w:t>响应文件</w:t>
      </w:r>
      <w:r>
        <w:rPr>
          <w:rFonts w:ascii="宋体" w:hAnsi="宋体"/>
          <w:sz w:val="24"/>
        </w:rPr>
        <w:t>满足</w:t>
      </w:r>
      <w:r>
        <w:rPr>
          <w:rFonts w:hint="eastAsia" w:ascii="宋体" w:hAnsi="宋体"/>
          <w:sz w:val="24"/>
        </w:rPr>
        <w:t>比选文件</w:t>
      </w:r>
      <w:r>
        <w:rPr>
          <w:rFonts w:ascii="宋体" w:hAnsi="宋体"/>
          <w:sz w:val="24"/>
        </w:rPr>
        <w:t>全部实质性要求，且按照评审因素的量化指标评审得分最高的</w:t>
      </w:r>
      <w:r>
        <w:rPr>
          <w:rFonts w:hint="eastAsia" w:ascii="宋体" w:hAnsi="宋体"/>
          <w:sz w:val="24"/>
        </w:rPr>
        <w:t>供应商</w:t>
      </w:r>
      <w:r>
        <w:rPr>
          <w:rFonts w:ascii="宋体" w:hAnsi="宋体"/>
          <w:sz w:val="24"/>
        </w:rPr>
        <w:t>为</w:t>
      </w:r>
      <w:r>
        <w:rPr>
          <w:rFonts w:hint="eastAsia" w:ascii="宋体" w:hAnsi="宋体"/>
          <w:sz w:val="24"/>
        </w:rPr>
        <w:t>成交</w:t>
      </w:r>
      <w:r>
        <w:rPr>
          <w:rFonts w:ascii="宋体" w:hAnsi="宋体"/>
          <w:sz w:val="24"/>
        </w:rPr>
        <w:t>候选人的评标方法，见《评标标准》</w:t>
      </w:r>
      <w:r>
        <w:rPr>
          <w:rFonts w:hint="eastAsia" w:ascii="宋体" w:hAnsi="宋体"/>
          <w:sz w:val="24"/>
        </w:rPr>
        <w:t>，比选文件中没有规定的评标标准不得作为评审的依据。</w:t>
      </w:r>
    </w:p>
    <w:p>
      <w:pPr>
        <w:tabs>
          <w:tab w:val="left" w:pos="900"/>
          <w:tab w:val="left" w:pos="1589"/>
          <w:tab w:val="left" w:pos="1701"/>
        </w:tabs>
        <w:snapToGrid w:val="0"/>
        <w:spacing w:line="360" w:lineRule="auto"/>
        <w:ind w:left="1985"/>
        <w:rPr>
          <w:rFonts w:ascii="宋体" w:hAnsi="宋体"/>
          <w:sz w:val="24"/>
        </w:rPr>
      </w:pPr>
      <w:r>
        <w:rPr>
          <w:rFonts w:ascii="宋体" w:hAnsi="宋体"/>
          <w:sz w:val="24"/>
        </w:rPr>
        <w:t>□最低评标价法，指</w:t>
      </w:r>
      <w:r>
        <w:rPr>
          <w:rFonts w:hint="eastAsia" w:ascii="宋体" w:hAnsi="宋体"/>
          <w:sz w:val="24"/>
        </w:rPr>
        <w:t>响应文件</w:t>
      </w:r>
      <w:r>
        <w:rPr>
          <w:rFonts w:ascii="宋体" w:hAnsi="宋体"/>
          <w:sz w:val="24"/>
        </w:rPr>
        <w:t>满足</w:t>
      </w:r>
      <w:r>
        <w:rPr>
          <w:rFonts w:hint="eastAsia" w:ascii="宋体" w:hAnsi="宋体"/>
          <w:sz w:val="24"/>
        </w:rPr>
        <w:t>比选文件</w:t>
      </w:r>
      <w:r>
        <w:rPr>
          <w:rFonts w:ascii="宋体" w:hAnsi="宋体"/>
          <w:sz w:val="24"/>
        </w:rPr>
        <w:t>全部实质性要求，且</w:t>
      </w:r>
      <w:r>
        <w:rPr>
          <w:rFonts w:hint="eastAsia" w:ascii="宋体" w:hAnsi="宋体"/>
          <w:sz w:val="24"/>
        </w:rPr>
        <w:t>响应</w:t>
      </w:r>
      <w:r>
        <w:rPr>
          <w:rFonts w:ascii="宋体" w:hAnsi="宋体"/>
          <w:sz w:val="24"/>
        </w:rPr>
        <w:t>报价最低的</w:t>
      </w:r>
      <w:r>
        <w:rPr>
          <w:rFonts w:hint="eastAsia" w:ascii="宋体" w:hAnsi="宋体"/>
          <w:sz w:val="24"/>
        </w:rPr>
        <w:t>供应商</w:t>
      </w:r>
      <w:r>
        <w:rPr>
          <w:rFonts w:ascii="宋体" w:hAnsi="宋体"/>
          <w:sz w:val="24"/>
        </w:rPr>
        <w:t>为</w:t>
      </w:r>
      <w:r>
        <w:rPr>
          <w:rFonts w:hint="eastAsia" w:ascii="宋体" w:hAnsi="宋体"/>
          <w:sz w:val="24"/>
        </w:rPr>
        <w:t>成交</w:t>
      </w:r>
      <w:r>
        <w:rPr>
          <w:rFonts w:ascii="宋体" w:hAnsi="宋体"/>
          <w:sz w:val="24"/>
        </w:rPr>
        <w:t>候选人的评标方法。</w:t>
      </w:r>
    </w:p>
    <w:p>
      <w:pPr>
        <w:numPr>
          <w:ilvl w:val="2"/>
          <w:numId w:val="10"/>
        </w:numPr>
        <w:tabs>
          <w:tab w:val="left" w:pos="1080"/>
          <w:tab w:val="left" w:pos="1589"/>
          <w:tab w:val="left" w:pos="2035"/>
        </w:tabs>
        <w:snapToGrid w:val="0"/>
        <w:spacing w:line="360" w:lineRule="auto"/>
        <w:ind w:left="2035"/>
        <w:rPr>
          <w:rFonts w:ascii="宋体" w:hAnsi="宋体"/>
          <w:sz w:val="24"/>
        </w:rPr>
      </w:pPr>
      <w:r>
        <w:rPr>
          <w:rFonts w:ascii="宋体" w:hAnsi="宋体"/>
          <w:sz w:val="24"/>
        </w:rPr>
        <w:t>采用最低评标价法时，提供相同品牌产品（单一产品或核心产品品牌相同）的不同</w:t>
      </w:r>
      <w:r>
        <w:rPr>
          <w:rFonts w:hint="eastAsia" w:ascii="宋体" w:hAnsi="宋体"/>
          <w:sz w:val="24"/>
        </w:rPr>
        <w:t>供应商</w:t>
      </w:r>
      <w:r>
        <w:rPr>
          <w:rFonts w:ascii="宋体" w:hAnsi="宋体"/>
          <w:sz w:val="24"/>
        </w:rPr>
        <w:t>参加同一合同项下</w:t>
      </w:r>
      <w:r>
        <w:rPr>
          <w:rFonts w:hint="eastAsia" w:ascii="宋体" w:hAnsi="宋体"/>
          <w:sz w:val="24"/>
        </w:rPr>
        <w:t>响应</w:t>
      </w:r>
      <w:r>
        <w:rPr>
          <w:rFonts w:ascii="宋体" w:hAnsi="宋体"/>
          <w:sz w:val="24"/>
        </w:rPr>
        <w:t>的，以其中通过资格审查、符合性审查且报价最低的参加评标；报价相同的，由采购人或者采购人委托评标委员会按照下述方法确定一个参加评标的</w:t>
      </w:r>
      <w:r>
        <w:rPr>
          <w:rFonts w:hint="eastAsia" w:ascii="宋体" w:hAnsi="宋体"/>
          <w:sz w:val="24"/>
        </w:rPr>
        <w:t>供应商</w:t>
      </w:r>
      <w:r>
        <w:rPr>
          <w:rFonts w:ascii="宋体" w:hAnsi="宋体"/>
          <w:sz w:val="24"/>
        </w:rPr>
        <w:t>，其他</w:t>
      </w:r>
      <w:r>
        <w:rPr>
          <w:rFonts w:hint="eastAsia" w:ascii="宋体" w:hAnsi="宋体"/>
          <w:b/>
          <w:sz w:val="24"/>
        </w:rPr>
        <w:t>响应</w:t>
      </w:r>
      <w:r>
        <w:rPr>
          <w:rFonts w:ascii="宋体" w:hAnsi="宋体"/>
          <w:b/>
          <w:sz w:val="24"/>
        </w:rPr>
        <w:t>无效</w:t>
      </w:r>
      <w:r>
        <w:rPr>
          <w:rFonts w:ascii="宋体" w:hAnsi="宋体"/>
          <w:sz w:val="24"/>
        </w:rPr>
        <w:t>。</w:t>
      </w:r>
    </w:p>
    <w:p>
      <w:p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w:t>
      </w:r>
      <w:r>
        <w:rPr>
          <w:rFonts w:ascii="宋体" w:hAnsi="宋体"/>
          <w:sz w:val="24"/>
        </w:rPr>
        <w:t>随机抽取</w:t>
      </w:r>
    </w:p>
    <w:p>
      <w:p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□其他方式，具体要求：_____</w:t>
      </w:r>
    </w:p>
    <w:p>
      <w:pPr>
        <w:numPr>
          <w:ilvl w:val="2"/>
          <w:numId w:val="10"/>
        </w:num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非政府强制采购的节能产品或环境标志产品，依据品目清单和认证证书实施政府优先采购。优先采购的具体规定（如涉及）</w:t>
      </w:r>
      <w:r>
        <w:rPr>
          <w:rFonts w:hint="eastAsia" w:ascii="宋体" w:hAnsi="宋体" w:cs="Tahoma"/>
          <w:kern w:val="0"/>
          <w:sz w:val="24"/>
          <w:u w:val="single"/>
        </w:rPr>
        <w:t>采购人所采购的设备不涉及政府强制采购，属于节能产品</w:t>
      </w:r>
      <w:r>
        <w:rPr>
          <w:rFonts w:ascii="宋体" w:hAnsi="宋体" w:cs="Tahoma"/>
          <w:kern w:val="0"/>
          <w:sz w:val="24"/>
          <w:u w:val="single"/>
        </w:rPr>
        <w:t>/环境标志产品政府采购品目清单</w:t>
      </w:r>
      <w:r>
        <w:rPr>
          <w:rFonts w:hint="eastAsia" w:ascii="宋体" w:hAnsi="宋体" w:cs="Tahoma"/>
          <w:kern w:val="0"/>
          <w:sz w:val="24"/>
          <w:u w:val="single"/>
        </w:rPr>
        <w:t>中优先采购的，所投产品提供了国家确定的认证机构出具的、处于有效期之内的节能产品</w:t>
      </w:r>
      <w:r>
        <w:rPr>
          <w:rFonts w:ascii="宋体" w:hAnsi="宋体" w:cs="Tahoma"/>
          <w:kern w:val="0"/>
          <w:sz w:val="24"/>
          <w:u w:val="single"/>
        </w:rPr>
        <w:t>/</w:t>
      </w:r>
      <w:r>
        <w:rPr>
          <w:rFonts w:hint="eastAsia" w:ascii="宋体" w:hAnsi="宋体" w:cs="Tahoma"/>
          <w:kern w:val="0"/>
          <w:sz w:val="24"/>
          <w:u w:val="single"/>
        </w:rPr>
        <w:t>环境标志产品认证证书复印件的，按照《评标标准》中节能、环境标志产品得分规则加分。</w:t>
      </w:r>
    </w:p>
    <w:p>
      <w:pPr>
        <w:numPr>
          <w:ilvl w:val="2"/>
          <w:numId w:val="10"/>
        </w:numPr>
        <w:tabs>
          <w:tab w:val="left" w:pos="1080"/>
          <w:tab w:val="left" w:pos="1589"/>
          <w:tab w:val="left" w:pos="2035"/>
        </w:tabs>
        <w:snapToGrid w:val="0"/>
        <w:spacing w:line="360" w:lineRule="auto"/>
        <w:ind w:left="2035"/>
        <w:rPr>
          <w:rFonts w:ascii="宋体" w:hAnsi="宋体"/>
          <w:sz w:val="24"/>
        </w:rPr>
      </w:pPr>
      <w:r>
        <w:rPr>
          <w:rFonts w:ascii="宋体" w:hAnsi="宋体"/>
          <w:sz w:val="24"/>
        </w:rPr>
        <w:t>关于无线局域网认证产品政府采购清单中的产品，优先采购的具体规定（如涉及）__</w:t>
      </w:r>
      <w:r>
        <w:rPr>
          <w:rFonts w:hint="eastAsia"/>
          <w:sz w:val="24"/>
          <w:u w:val="single"/>
        </w:rPr>
        <w:t xml:space="preserve">/ </w:t>
      </w:r>
      <w:r>
        <w:rPr>
          <w:rFonts w:ascii="宋体" w:hAnsi="宋体"/>
          <w:sz w:val="24"/>
        </w:rPr>
        <w:t>___。</w:t>
      </w:r>
    </w:p>
    <w:p>
      <w:pPr>
        <w:numPr>
          <w:ilvl w:val="0"/>
          <w:numId w:val="10"/>
        </w:numPr>
        <w:tabs>
          <w:tab w:val="left" w:pos="360"/>
        </w:tabs>
        <w:snapToGrid w:val="0"/>
        <w:spacing w:line="360" w:lineRule="auto"/>
        <w:outlineLvl w:val="1"/>
        <w:rPr>
          <w:rFonts w:ascii="宋体" w:hAnsi="宋体"/>
          <w:sz w:val="24"/>
        </w:rPr>
      </w:pPr>
      <w:r>
        <w:rPr>
          <w:rFonts w:ascii="宋体" w:hAnsi="宋体"/>
          <w:sz w:val="24"/>
        </w:rPr>
        <w:t>确定</w:t>
      </w:r>
      <w:bookmarkStart w:id="632" w:name="_Toc226965819"/>
      <w:bookmarkStart w:id="633" w:name="_Toc150480784"/>
      <w:bookmarkStart w:id="634" w:name="_Toc164351640"/>
      <w:bookmarkStart w:id="635" w:name="_Toc264969236"/>
      <w:bookmarkStart w:id="636" w:name="_Toc150509297"/>
      <w:bookmarkStart w:id="637" w:name="_Toc151193860"/>
      <w:bookmarkStart w:id="638" w:name="_Toc305158888"/>
      <w:bookmarkStart w:id="639" w:name="_Toc150774751"/>
      <w:bookmarkStart w:id="640" w:name="_Toc150774646"/>
      <w:bookmarkStart w:id="641" w:name="_Toc142311048"/>
      <w:bookmarkStart w:id="642" w:name="_Toc164229387"/>
      <w:bookmarkStart w:id="643" w:name="_Toc151193644"/>
      <w:bookmarkStart w:id="644" w:name="_Toc195842911"/>
      <w:bookmarkStart w:id="645" w:name="_Toc164608660"/>
      <w:bookmarkStart w:id="646" w:name="_Toc151193934"/>
      <w:bookmarkStart w:id="647" w:name="_Toc164229241"/>
      <w:bookmarkStart w:id="648" w:name="_Toc151193788"/>
      <w:bookmarkStart w:id="649" w:name="_Toc520356170"/>
      <w:bookmarkStart w:id="650" w:name="_Toc164608815"/>
      <w:bookmarkStart w:id="651" w:name="_Toc226309790"/>
      <w:bookmarkStart w:id="652" w:name="_Toc265228384"/>
      <w:bookmarkStart w:id="653" w:name="_Toc305158814"/>
      <w:bookmarkStart w:id="654" w:name="_Ref467307010"/>
      <w:bookmarkStart w:id="655" w:name="_Toc226965736"/>
      <w:bookmarkStart w:id="656" w:name="_Toc151193716"/>
      <w:bookmarkStart w:id="657" w:name="_Toc149720839"/>
      <w:bookmarkStart w:id="658" w:name="_Toc226337242"/>
      <w:bookmarkStart w:id="659" w:name="_Toc151190173"/>
      <w:bookmarkStart w:id="660" w:name="_Toc127161460"/>
      <w:bookmarkStart w:id="661" w:name="_Toc127151546"/>
      <w:bookmarkStart w:id="662" w:name="_Toc127151747"/>
      <w:r>
        <w:rPr>
          <w:rFonts w:hint="eastAsia" w:ascii="宋体" w:hAnsi="宋体"/>
          <w:sz w:val="24"/>
        </w:rPr>
        <w:t>成交</w:t>
      </w:r>
      <w:r>
        <w:rPr>
          <w:rFonts w:ascii="宋体" w:hAnsi="宋体"/>
          <w:sz w:val="24"/>
        </w:rPr>
        <w:t>候选人名单</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pPr>
        <w:numPr>
          <w:ilvl w:val="1"/>
          <w:numId w:val="10"/>
        </w:numPr>
        <w:tabs>
          <w:tab w:val="left" w:pos="1080"/>
        </w:tabs>
        <w:snapToGrid w:val="0"/>
        <w:spacing w:line="360" w:lineRule="auto"/>
        <w:ind w:left="1077" w:hanging="720"/>
        <w:rPr>
          <w:rFonts w:ascii="宋体" w:hAnsi="宋体"/>
          <w:sz w:val="24"/>
        </w:rPr>
      </w:pPr>
      <w:r>
        <w:rPr>
          <w:rFonts w:ascii="宋体" w:hAnsi="宋体"/>
          <w:sz w:val="24"/>
        </w:rPr>
        <w:t>采用综合评分法时，提供相同品牌产品（单一产品或核心产品品牌相同）且通过资格审查、符合性审查的不同</w:t>
      </w:r>
      <w:r>
        <w:rPr>
          <w:rFonts w:hint="eastAsia" w:ascii="宋体" w:hAnsi="宋体"/>
          <w:sz w:val="24"/>
        </w:rPr>
        <w:t>供应商</w:t>
      </w:r>
      <w:r>
        <w:rPr>
          <w:rFonts w:ascii="宋体" w:hAnsi="宋体"/>
          <w:sz w:val="24"/>
        </w:rPr>
        <w:t>参加同一合同项下</w:t>
      </w:r>
      <w:r>
        <w:rPr>
          <w:rFonts w:hint="eastAsia" w:ascii="宋体" w:hAnsi="宋体"/>
          <w:sz w:val="24"/>
        </w:rPr>
        <w:t>响应</w:t>
      </w:r>
      <w:r>
        <w:rPr>
          <w:rFonts w:ascii="宋体" w:hAnsi="宋体"/>
          <w:sz w:val="24"/>
        </w:rPr>
        <w:t>的，按一家</w:t>
      </w:r>
      <w:r>
        <w:rPr>
          <w:rFonts w:hint="eastAsia" w:ascii="宋体" w:hAnsi="宋体"/>
          <w:sz w:val="24"/>
        </w:rPr>
        <w:t>供应商</w:t>
      </w:r>
      <w:r>
        <w:rPr>
          <w:rFonts w:ascii="宋体" w:hAnsi="宋体"/>
          <w:sz w:val="24"/>
        </w:rPr>
        <w:t>计算，评审后得分最高的同品牌</w:t>
      </w:r>
      <w:r>
        <w:rPr>
          <w:rFonts w:hint="eastAsia" w:ascii="宋体" w:hAnsi="宋体"/>
          <w:sz w:val="24"/>
        </w:rPr>
        <w:t>供应商</w:t>
      </w:r>
      <w:r>
        <w:rPr>
          <w:rFonts w:ascii="宋体" w:hAnsi="宋体"/>
          <w:sz w:val="24"/>
        </w:rPr>
        <w:t>获得</w:t>
      </w:r>
      <w:r>
        <w:rPr>
          <w:rFonts w:hint="eastAsia" w:ascii="宋体" w:hAnsi="宋体"/>
          <w:sz w:val="24"/>
        </w:rPr>
        <w:t>成交人</w:t>
      </w:r>
      <w:r>
        <w:rPr>
          <w:rFonts w:ascii="宋体" w:hAnsi="宋体"/>
          <w:sz w:val="24"/>
        </w:rPr>
        <w:t>推荐资格；评审得分相同的，评标委员会按照下述规定确定一个</w:t>
      </w:r>
      <w:r>
        <w:rPr>
          <w:rFonts w:hint="eastAsia" w:ascii="宋体" w:hAnsi="宋体"/>
          <w:sz w:val="24"/>
        </w:rPr>
        <w:t>供应商</w:t>
      </w:r>
      <w:r>
        <w:rPr>
          <w:rFonts w:ascii="宋体" w:hAnsi="宋体"/>
          <w:sz w:val="24"/>
        </w:rPr>
        <w:t>获得</w:t>
      </w:r>
      <w:r>
        <w:rPr>
          <w:rFonts w:hint="eastAsia" w:ascii="宋体" w:hAnsi="宋体"/>
          <w:sz w:val="24"/>
        </w:rPr>
        <w:t>成交人</w:t>
      </w:r>
      <w:r>
        <w:rPr>
          <w:rFonts w:ascii="宋体" w:hAnsi="宋体"/>
          <w:sz w:val="24"/>
        </w:rPr>
        <w:t>推荐资格，其他同品牌</w:t>
      </w:r>
      <w:r>
        <w:rPr>
          <w:rFonts w:hint="eastAsia" w:ascii="宋体" w:hAnsi="宋体"/>
          <w:sz w:val="24"/>
        </w:rPr>
        <w:t>供应商</w:t>
      </w:r>
      <w:r>
        <w:rPr>
          <w:rFonts w:ascii="宋体" w:hAnsi="宋体"/>
          <w:sz w:val="24"/>
        </w:rPr>
        <w:t>不作为</w:t>
      </w:r>
      <w:r>
        <w:rPr>
          <w:rFonts w:hint="eastAsia" w:ascii="宋体" w:hAnsi="宋体"/>
          <w:sz w:val="24"/>
        </w:rPr>
        <w:t>成交</w:t>
      </w:r>
      <w:r>
        <w:rPr>
          <w:rFonts w:ascii="宋体" w:hAnsi="宋体"/>
          <w:sz w:val="24"/>
        </w:rPr>
        <w:t>候选人。</w:t>
      </w:r>
    </w:p>
    <w:p>
      <w:pPr>
        <w:pStyle w:val="23"/>
        <w:tabs>
          <w:tab w:val="left" w:pos="900"/>
          <w:tab w:val="left" w:pos="2127"/>
        </w:tabs>
        <w:adjustRightInd w:val="0"/>
        <w:snapToGrid w:val="0"/>
        <w:spacing w:line="360" w:lineRule="auto"/>
        <w:ind w:left="993" w:firstLine="136" w:firstLineChars="57"/>
        <w:rPr>
          <w:rFonts w:hint="default" w:hAnsi="宋体"/>
          <w:sz w:val="24"/>
          <w:szCs w:val="24"/>
        </w:rPr>
      </w:pPr>
      <w:r>
        <w:rPr>
          <w:rFonts w:hint="default" w:hAnsi="宋体"/>
          <w:sz w:val="24"/>
          <w:szCs w:val="24"/>
        </w:rPr>
        <w:t>□随机抽取</w:t>
      </w:r>
    </w:p>
    <w:p>
      <w:pPr>
        <w:pStyle w:val="23"/>
        <w:tabs>
          <w:tab w:val="left" w:pos="900"/>
          <w:tab w:val="left" w:pos="2127"/>
        </w:tabs>
        <w:adjustRightInd w:val="0"/>
        <w:snapToGrid w:val="0"/>
        <w:spacing w:line="360" w:lineRule="auto"/>
        <w:ind w:left="993" w:firstLine="136" w:firstLineChars="57"/>
        <w:rPr>
          <w:rFonts w:hint="default" w:hAnsi="宋体"/>
          <w:sz w:val="24"/>
          <w:szCs w:val="24"/>
        </w:rPr>
      </w:pPr>
      <w:r>
        <w:rPr>
          <w:rFonts w:hAnsi="宋体"/>
          <w:sz w:val="24"/>
        </w:rPr>
        <w:t>■</w:t>
      </w:r>
      <w:r>
        <w:rPr>
          <w:rFonts w:hint="default" w:hAnsi="宋体"/>
          <w:sz w:val="24"/>
          <w:szCs w:val="24"/>
        </w:rPr>
        <w:t>其他方式，具体要求：</w:t>
      </w:r>
      <w:r>
        <w:rPr>
          <w:rFonts w:hAnsi="宋体"/>
          <w:sz w:val="24"/>
          <w:szCs w:val="24"/>
          <w:u w:val="single"/>
        </w:rPr>
        <w:t>以价格最低的供应商获得成交人推荐资格</w:t>
      </w:r>
    </w:p>
    <w:p>
      <w:pPr>
        <w:numPr>
          <w:ilvl w:val="1"/>
          <w:numId w:val="10"/>
        </w:numPr>
        <w:tabs>
          <w:tab w:val="left" w:pos="1080"/>
        </w:tabs>
        <w:snapToGrid w:val="0"/>
        <w:spacing w:line="360" w:lineRule="auto"/>
        <w:ind w:left="1077" w:hanging="720"/>
        <w:rPr>
          <w:rFonts w:ascii="宋体" w:hAnsi="宋体"/>
          <w:sz w:val="24"/>
        </w:rPr>
      </w:pPr>
      <w:r>
        <w:rPr>
          <w:rFonts w:ascii="宋体" w:hAnsi="宋体"/>
          <w:sz w:val="24"/>
        </w:rPr>
        <w:t>采用综合评分法时，评标结果按评审后得分由高到低顺序排列。得分相同的，按</w:t>
      </w:r>
      <w:r>
        <w:rPr>
          <w:rFonts w:hint="eastAsia" w:ascii="宋体" w:hAnsi="宋体"/>
          <w:sz w:val="24"/>
        </w:rPr>
        <w:t>响应</w:t>
      </w:r>
      <w:r>
        <w:rPr>
          <w:rFonts w:ascii="宋体" w:hAnsi="宋体"/>
          <w:sz w:val="24"/>
        </w:rPr>
        <w:t>报价由低到高顺序排列。得分且</w:t>
      </w:r>
      <w:r>
        <w:rPr>
          <w:rFonts w:hint="eastAsia" w:ascii="宋体" w:hAnsi="宋体"/>
          <w:sz w:val="24"/>
        </w:rPr>
        <w:t>响应</w:t>
      </w:r>
      <w:r>
        <w:rPr>
          <w:rFonts w:ascii="宋体" w:hAnsi="宋体"/>
          <w:sz w:val="24"/>
        </w:rPr>
        <w:t>报价相同的并列。</w:t>
      </w:r>
      <w:r>
        <w:rPr>
          <w:rFonts w:hint="eastAsia" w:ascii="宋体" w:hAnsi="宋体"/>
          <w:sz w:val="24"/>
        </w:rPr>
        <w:t>响应文件</w:t>
      </w:r>
      <w:r>
        <w:rPr>
          <w:rFonts w:ascii="宋体" w:hAnsi="宋体"/>
          <w:sz w:val="24"/>
        </w:rPr>
        <w:t>满足</w:t>
      </w:r>
      <w:r>
        <w:rPr>
          <w:rFonts w:hint="eastAsia" w:ascii="宋体" w:hAnsi="宋体"/>
          <w:sz w:val="24"/>
        </w:rPr>
        <w:t>比选文件</w:t>
      </w:r>
      <w:r>
        <w:rPr>
          <w:rFonts w:ascii="宋体" w:hAnsi="宋体"/>
          <w:sz w:val="24"/>
        </w:rPr>
        <w:t>全部实质性要求，且按照评审因素的量化指标评审得分最高的</w:t>
      </w:r>
      <w:r>
        <w:rPr>
          <w:rFonts w:hint="eastAsia" w:ascii="宋体" w:hAnsi="宋体"/>
          <w:sz w:val="24"/>
        </w:rPr>
        <w:t>供应商</w:t>
      </w:r>
      <w:r>
        <w:rPr>
          <w:rFonts w:ascii="宋体" w:hAnsi="宋体"/>
          <w:sz w:val="24"/>
        </w:rPr>
        <w:t>为排名第一的</w:t>
      </w:r>
      <w:r>
        <w:rPr>
          <w:rFonts w:hint="eastAsia" w:ascii="宋体" w:hAnsi="宋体"/>
          <w:sz w:val="24"/>
        </w:rPr>
        <w:t>成交</w:t>
      </w:r>
      <w:r>
        <w:rPr>
          <w:rFonts w:ascii="宋体" w:hAnsi="宋体"/>
          <w:sz w:val="24"/>
        </w:rPr>
        <w:t>候选人。评分分值计算保留小数点后两位，第三位四舍五入。</w:t>
      </w:r>
    </w:p>
    <w:p>
      <w:pPr>
        <w:numPr>
          <w:ilvl w:val="1"/>
          <w:numId w:val="10"/>
        </w:numPr>
        <w:tabs>
          <w:tab w:val="left" w:pos="1080"/>
        </w:tabs>
        <w:snapToGrid w:val="0"/>
        <w:spacing w:line="360" w:lineRule="auto"/>
        <w:ind w:left="1077" w:hanging="720"/>
        <w:rPr>
          <w:rFonts w:ascii="宋体" w:hAnsi="宋体"/>
          <w:sz w:val="24"/>
        </w:rPr>
      </w:pPr>
      <w:r>
        <w:rPr>
          <w:rFonts w:ascii="宋体" w:hAnsi="宋体"/>
          <w:sz w:val="24"/>
        </w:rPr>
        <w:t>采用最低评标价法时，评标结果按本章2.4、2.5调整后的</w:t>
      </w:r>
      <w:r>
        <w:rPr>
          <w:rFonts w:hint="eastAsia" w:ascii="宋体" w:hAnsi="宋体"/>
          <w:sz w:val="24"/>
        </w:rPr>
        <w:t>响应</w:t>
      </w:r>
      <w:r>
        <w:rPr>
          <w:rFonts w:ascii="宋体" w:hAnsi="宋体"/>
          <w:sz w:val="24"/>
        </w:rPr>
        <w:t>报价由低到高顺序排列。</w:t>
      </w:r>
      <w:r>
        <w:rPr>
          <w:rFonts w:hint="eastAsia" w:ascii="宋体" w:hAnsi="宋体"/>
          <w:sz w:val="24"/>
        </w:rPr>
        <w:t>响应</w:t>
      </w:r>
      <w:r>
        <w:rPr>
          <w:rFonts w:ascii="宋体" w:hAnsi="宋体"/>
          <w:sz w:val="24"/>
        </w:rPr>
        <w:t>报价相同的并列。</w:t>
      </w:r>
      <w:r>
        <w:rPr>
          <w:rFonts w:hint="eastAsia" w:ascii="宋体" w:hAnsi="宋体"/>
          <w:sz w:val="24"/>
        </w:rPr>
        <w:t>响应文件</w:t>
      </w:r>
      <w:r>
        <w:rPr>
          <w:rFonts w:ascii="宋体" w:hAnsi="宋体"/>
          <w:sz w:val="24"/>
        </w:rPr>
        <w:t>满足</w:t>
      </w:r>
      <w:r>
        <w:rPr>
          <w:rFonts w:hint="eastAsia" w:ascii="宋体" w:hAnsi="宋体"/>
          <w:sz w:val="24"/>
        </w:rPr>
        <w:t>比选文件</w:t>
      </w:r>
      <w:r>
        <w:rPr>
          <w:rFonts w:ascii="宋体" w:hAnsi="宋体"/>
          <w:sz w:val="24"/>
        </w:rPr>
        <w:t>全部实质性要求且</w:t>
      </w:r>
      <w:r>
        <w:rPr>
          <w:rFonts w:hint="eastAsia" w:ascii="宋体" w:hAnsi="宋体"/>
          <w:sz w:val="24"/>
        </w:rPr>
        <w:t>响应</w:t>
      </w:r>
      <w:r>
        <w:rPr>
          <w:rFonts w:ascii="宋体" w:hAnsi="宋体"/>
          <w:sz w:val="24"/>
        </w:rPr>
        <w:t>报价最低的</w:t>
      </w:r>
      <w:r>
        <w:rPr>
          <w:rFonts w:hint="eastAsia" w:ascii="宋体" w:hAnsi="宋体"/>
          <w:sz w:val="24"/>
        </w:rPr>
        <w:t>供应商</w:t>
      </w:r>
      <w:r>
        <w:rPr>
          <w:rFonts w:ascii="宋体" w:hAnsi="宋体"/>
          <w:sz w:val="24"/>
        </w:rPr>
        <w:t>为排名第一的</w:t>
      </w:r>
      <w:r>
        <w:rPr>
          <w:rFonts w:hint="eastAsia" w:ascii="宋体" w:hAnsi="宋体"/>
          <w:sz w:val="24"/>
        </w:rPr>
        <w:t>成交</w:t>
      </w:r>
      <w:r>
        <w:rPr>
          <w:rFonts w:ascii="宋体" w:hAnsi="宋体"/>
          <w:sz w:val="24"/>
        </w:rPr>
        <w:t>候选人。</w:t>
      </w:r>
    </w:p>
    <w:p>
      <w:pPr>
        <w:numPr>
          <w:ilvl w:val="1"/>
          <w:numId w:val="10"/>
        </w:numPr>
        <w:tabs>
          <w:tab w:val="left" w:pos="1080"/>
        </w:tabs>
        <w:snapToGrid w:val="0"/>
        <w:spacing w:line="360" w:lineRule="auto"/>
        <w:ind w:left="1077" w:hanging="720"/>
        <w:rPr>
          <w:rFonts w:ascii="宋体" w:hAnsi="宋体"/>
          <w:sz w:val="24"/>
        </w:rPr>
      </w:pPr>
      <w:r>
        <w:rPr>
          <w:rFonts w:ascii="宋体" w:hAnsi="宋体"/>
          <w:sz w:val="24"/>
        </w:rPr>
        <w:t>评标委员会要对评分汇总情况进行复核，特别是对排名第一的、报价最低的、</w:t>
      </w:r>
      <w:r>
        <w:rPr>
          <w:rFonts w:hint="eastAsia" w:ascii="宋体" w:hAnsi="宋体"/>
          <w:sz w:val="24"/>
        </w:rPr>
        <w:t>响应</w:t>
      </w:r>
      <w:r>
        <w:rPr>
          <w:rFonts w:ascii="宋体" w:hAnsi="宋体"/>
          <w:sz w:val="24"/>
        </w:rPr>
        <w:t>或</w:t>
      </w:r>
      <w:r>
        <w:rPr>
          <w:rFonts w:hint="eastAsia" w:ascii="宋体" w:hAnsi="宋体"/>
          <w:sz w:val="24"/>
        </w:rPr>
        <w:t>响应文件</w:t>
      </w:r>
      <w:r>
        <w:rPr>
          <w:rFonts w:ascii="宋体" w:hAnsi="宋体"/>
          <w:sz w:val="24"/>
        </w:rPr>
        <w:t>被认定为无效的情形进行重点复核。</w:t>
      </w:r>
    </w:p>
    <w:p>
      <w:pPr>
        <w:numPr>
          <w:ilvl w:val="1"/>
          <w:numId w:val="10"/>
        </w:numPr>
        <w:tabs>
          <w:tab w:val="left" w:pos="1080"/>
        </w:tabs>
        <w:snapToGrid w:val="0"/>
        <w:spacing w:line="360" w:lineRule="auto"/>
        <w:ind w:left="1077" w:hanging="720"/>
        <w:rPr>
          <w:rFonts w:ascii="宋体" w:hAnsi="宋体"/>
          <w:sz w:val="24"/>
        </w:rPr>
      </w:pPr>
      <w:r>
        <w:rPr>
          <w:rFonts w:ascii="宋体" w:hAnsi="宋体"/>
          <w:sz w:val="24"/>
        </w:rPr>
        <w:t>评标委员会将根据各</w:t>
      </w:r>
      <w:r>
        <w:rPr>
          <w:rFonts w:hint="eastAsia" w:ascii="宋体" w:hAnsi="宋体"/>
          <w:sz w:val="24"/>
        </w:rPr>
        <w:t>供应商</w:t>
      </w:r>
      <w:r>
        <w:rPr>
          <w:rFonts w:ascii="宋体" w:hAnsi="宋体"/>
          <w:sz w:val="24"/>
        </w:rPr>
        <w:t>的评标排序，依次推荐本项目（</w:t>
      </w:r>
      <w:r>
        <w:rPr>
          <w:rFonts w:hint="eastAsia" w:ascii="宋体" w:hAnsi="宋体"/>
          <w:sz w:val="24"/>
        </w:rPr>
        <w:t>各</w:t>
      </w:r>
      <w:r>
        <w:rPr>
          <w:rFonts w:ascii="宋体" w:hAnsi="宋体"/>
          <w:sz w:val="24"/>
        </w:rPr>
        <w:t>采购包）的</w:t>
      </w:r>
      <w:r>
        <w:rPr>
          <w:rFonts w:hint="eastAsia" w:ascii="宋体" w:hAnsi="宋体"/>
          <w:sz w:val="24"/>
        </w:rPr>
        <w:t>成交</w:t>
      </w:r>
      <w:r>
        <w:rPr>
          <w:rFonts w:ascii="宋体" w:hAnsi="宋体"/>
          <w:sz w:val="24"/>
        </w:rPr>
        <w:t>候选人，起草并签署评标报告。本项目（</w:t>
      </w:r>
      <w:r>
        <w:rPr>
          <w:rFonts w:hint="eastAsia" w:ascii="宋体" w:hAnsi="宋体"/>
          <w:sz w:val="24"/>
        </w:rPr>
        <w:t>各</w:t>
      </w:r>
      <w:r>
        <w:rPr>
          <w:rFonts w:ascii="宋体" w:hAnsi="宋体"/>
          <w:sz w:val="24"/>
        </w:rPr>
        <w:t>采购包）评标委员会共（各）推荐</w:t>
      </w:r>
      <w:r>
        <w:rPr>
          <w:rFonts w:hint="eastAsia" w:ascii="宋体" w:hAnsi="宋体"/>
          <w:sz w:val="24"/>
          <w:u w:val="single"/>
        </w:rPr>
        <w:t xml:space="preserve"> </w:t>
      </w:r>
      <w:r>
        <w:rPr>
          <w:rFonts w:ascii="宋体" w:hAnsi="宋体"/>
          <w:sz w:val="24"/>
          <w:u w:val="single"/>
        </w:rPr>
        <w:t xml:space="preserve">3 </w:t>
      </w:r>
      <w:r>
        <w:rPr>
          <w:rFonts w:ascii="宋体" w:hAnsi="宋体"/>
          <w:sz w:val="24"/>
        </w:rPr>
        <w:t>名</w:t>
      </w:r>
      <w:r>
        <w:rPr>
          <w:rFonts w:hint="eastAsia" w:ascii="宋体" w:hAnsi="宋体"/>
          <w:sz w:val="24"/>
        </w:rPr>
        <w:t>成交</w:t>
      </w:r>
      <w:r>
        <w:rPr>
          <w:rFonts w:ascii="宋体" w:hAnsi="宋体"/>
          <w:sz w:val="24"/>
        </w:rPr>
        <w:t>候选人。</w:t>
      </w:r>
    </w:p>
    <w:p>
      <w:pPr>
        <w:numPr>
          <w:ilvl w:val="0"/>
          <w:numId w:val="10"/>
        </w:numPr>
        <w:tabs>
          <w:tab w:val="left" w:pos="360"/>
        </w:tabs>
        <w:snapToGrid w:val="0"/>
        <w:spacing w:line="360" w:lineRule="auto"/>
        <w:outlineLvl w:val="1"/>
        <w:rPr>
          <w:rFonts w:ascii="宋体" w:hAnsi="宋体"/>
          <w:sz w:val="24"/>
        </w:rPr>
      </w:pPr>
      <w:r>
        <w:rPr>
          <w:rFonts w:ascii="宋体" w:hAnsi="宋体"/>
          <w:sz w:val="24"/>
        </w:rPr>
        <w:t>报告违法行为</w:t>
      </w:r>
    </w:p>
    <w:p>
      <w:pPr>
        <w:numPr>
          <w:ilvl w:val="1"/>
          <w:numId w:val="10"/>
        </w:numPr>
        <w:tabs>
          <w:tab w:val="left" w:pos="1080"/>
        </w:tabs>
        <w:snapToGrid w:val="0"/>
        <w:spacing w:line="360" w:lineRule="auto"/>
        <w:ind w:left="1077" w:hanging="720"/>
        <w:rPr>
          <w:rFonts w:ascii="宋体" w:hAnsi="宋体"/>
          <w:sz w:val="24"/>
        </w:rPr>
      </w:pPr>
      <w:r>
        <w:rPr>
          <w:rFonts w:ascii="宋体" w:hAnsi="宋体"/>
          <w:sz w:val="24"/>
        </w:rPr>
        <w:t>评标委员会在评标过程中发现</w:t>
      </w:r>
      <w:r>
        <w:rPr>
          <w:rFonts w:hint="eastAsia" w:ascii="宋体" w:hAnsi="宋体"/>
          <w:sz w:val="24"/>
        </w:rPr>
        <w:t>供应商</w:t>
      </w:r>
      <w:r>
        <w:rPr>
          <w:rFonts w:ascii="宋体" w:hAnsi="宋体"/>
          <w:sz w:val="24"/>
        </w:rPr>
        <w:t>有行贿、提供虚假材料或者串通等违法行为时，有向采购人、采购代理机构或者有关部门报告的职责。</w:t>
      </w:r>
    </w:p>
    <w:p>
      <w:pPr>
        <w:tabs>
          <w:tab w:val="left" w:pos="360"/>
          <w:tab w:val="left" w:pos="900"/>
        </w:tabs>
        <w:snapToGrid w:val="0"/>
        <w:spacing w:line="360" w:lineRule="auto"/>
        <w:ind w:left="900"/>
        <w:outlineLvl w:val="1"/>
        <w:rPr>
          <w:rFonts w:ascii="宋体" w:hAnsi="宋体"/>
          <w:sz w:val="24"/>
        </w:rPr>
      </w:pPr>
      <w:r>
        <w:rPr>
          <w:rFonts w:ascii="宋体" w:hAnsi="宋体"/>
          <w:b/>
          <w:sz w:val="24"/>
        </w:rPr>
        <w:br w:type="page"/>
      </w:r>
    </w:p>
    <w:p>
      <w:pPr>
        <w:tabs>
          <w:tab w:val="left" w:pos="360"/>
          <w:tab w:val="left" w:pos="900"/>
        </w:tabs>
        <w:snapToGrid w:val="0"/>
        <w:spacing w:line="360" w:lineRule="auto"/>
        <w:jc w:val="center"/>
        <w:outlineLvl w:val="1"/>
        <w:rPr>
          <w:rFonts w:ascii="宋体" w:hAnsi="宋体"/>
          <w:b/>
          <w:sz w:val="24"/>
        </w:rPr>
      </w:pPr>
      <w:r>
        <w:rPr>
          <w:rFonts w:ascii="宋体" w:hAnsi="宋体"/>
          <w:b/>
          <w:sz w:val="24"/>
        </w:rPr>
        <w:t>二、评</w:t>
      </w:r>
      <w:r>
        <w:rPr>
          <w:rFonts w:hint="eastAsia" w:ascii="宋体" w:hAnsi="宋体"/>
          <w:b/>
          <w:sz w:val="24"/>
        </w:rPr>
        <w:t>审</w:t>
      </w:r>
      <w:r>
        <w:rPr>
          <w:rFonts w:ascii="宋体" w:hAnsi="宋体"/>
          <w:b/>
          <w:sz w:val="24"/>
        </w:rPr>
        <w:t>标准</w:t>
      </w:r>
    </w:p>
    <w:tbl>
      <w:tblPr>
        <w:tblStyle w:val="40"/>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725"/>
        <w:gridCol w:w="5853"/>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062" w:type="dxa"/>
            <w:vMerge w:val="restart"/>
            <w:vAlign w:val="center"/>
          </w:tcPr>
          <w:p>
            <w:pPr>
              <w:contextualSpacing/>
              <w:jc w:val="center"/>
              <w:rPr>
                <w:rFonts w:ascii="宋体" w:hAnsi="宋体"/>
                <w:snapToGrid w:val="0"/>
                <w:kern w:val="0"/>
                <w:szCs w:val="21"/>
              </w:rPr>
            </w:pPr>
            <w:r>
              <w:rPr>
                <w:rFonts w:hint="eastAsia" w:ascii="宋体" w:hAnsi="宋体"/>
                <w:snapToGrid w:val="0"/>
                <w:kern w:val="0"/>
                <w:szCs w:val="21"/>
              </w:rPr>
              <w:t>评审项目</w:t>
            </w:r>
          </w:p>
        </w:tc>
        <w:tc>
          <w:tcPr>
            <w:tcW w:w="1725" w:type="dxa"/>
            <w:vMerge w:val="restart"/>
            <w:vAlign w:val="center"/>
          </w:tcPr>
          <w:p>
            <w:pPr>
              <w:contextualSpacing/>
              <w:jc w:val="center"/>
              <w:rPr>
                <w:rFonts w:ascii="宋体" w:hAnsi="宋体"/>
                <w:snapToGrid w:val="0"/>
                <w:kern w:val="0"/>
                <w:szCs w:val="21"/>
              </w:rPr>
            </w:pPr>
            <w:r>
              <w:rPr>
                <w:rFonts w:hint="eastAsia" w:ascii="宋体" w:hAnsi="宋体"/>
                <w:snapToGrid w:val="0"/>
                <w:kern w:val="0"/>
                <w:szCs w:val="21"/>
              </w:rPr>
              <w:t>评审内容</w:t>
            </w:r>
          </w:p>
        </w:tc>
        <w:tc>
          <w:tcPr>
            <w:tcW w:w="5853" w:type="dxa"/>
            <w:vMerge w:val="restart"/>
            <w:vAlign w:val="center"/>
          </w:tcPr>
          <w:p>
            <w:pPr>
              <w:contextualSpacing/>
              <w:jc w:val="center"/>
              <w:rPr>
                <w:rFonts w:ascii="宋体" w:hAnsi="宋体"/>
                <w:snapToGrid w:val="0"/>
                <w:kern w:val="0"/>
                <w:szCs w:val="21"/>
              </w:rPr>
            </w:pPr>
            <w:r>
              <w:rPr>
                <w:rFonts w:hint="eastAsia" w:ascii="宋体" w:hAnsi="宋体"/>
                <w:snapToGrid w:val="0"/>
                <w:kern w:val="0"/>
                <w:szCs w:val="21"/>
              </w:rPr>
              <w:t>评审标准</w:t>
            </w:r>
          </w:p>
        </w:tc>
        <w:tc>
          <w:tcPr>
            <w:tcW w:w="786" w:type="dxa"/>
            <w:vMerge w:val="restart"/>
            <w:vAlign w:val="center"/>
          </w:tcPr>
          <w:p>
            <w:pPr>
              <w:contextualSpacing/>
              <w:jc w:val="center"/>
              <w:rPr>
                <w:rFonts w:ascii="宋体" w:hAnsi="宋体"/>
                <w:snapToGrid w:val="0"/>
                <w:kern w:val="0"/>
                <w:szCs w:val="21"/>
              </w:rPr>
            </w:pPr>
            <w:r>
              <w:rPr>
                <w:rFonts w:hint="eastAsia" w:ascii="宋体" w:hAnsi="宋体"/>
                <w:snapToGrid w:val="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1062" w:type="dxa"/>
            <w:vMerge w:val="continue"/>
            <w:vAlign w:val="center"/>
          </w:tcPr>
          <w:p>
            <w:pPr>
              <w:contextualSpacing/>
              <w:jc w:val="center"/>
              <w:rPr>
                <w:rFonts w:ascii="宋体" w:hAnsi="宋体"/>
                <w:snapToGrid w:val="0"/>
                <w:kern w:val="0"/>
                <w:szCs w:val="21"/>
              </w:rPr>
            </w:pPr>
          </w:p>
        </w:tc>
        <w:tc>
          <w:tcPr>
            <w:tcW w:w="1725" w:type="dxa"/>
            <w:vMerge w:val="continue"/>
            <w:vAlign w:val="center"/>
          </w:tcPr>
          <w:p>
            <w:pPr>
              <w:contextualSpacing/>
              <w:jc w:val="center"/>
              <w:rPr>
                <w:rFonts w:ascii="宋体" w:hAnsi="宋体"/>
                <w:snapToGrid w:val="0"/>
                <w:kern w:val="0"/>
                <w:szCs w:val="21"/>
              </w:rPr>
            </w:pPr>
          </w:p>
        </w:tc>
        <w:tc>
          <w:tcPr>
            <w:tcW w:w="5853" w:type="dxa"/>
            <w:vMerge w:val="continue"/>
            <w:vAlign w:val="center"/>
          </w:tcPr>
          <w:p>
            <w:pPr>
              <w:contextualSpacing/>
              <w:jc w:val="center"/>
              <w:rPr>
                <w:rFonts w:ascii="宋体" w:hAnsi="宋体"/>
                <w:snapToGrid w:val="0"/>
                <w:kern w:val="0"/>
                <w:szCs w:val="21"/>
              </w:rPr>
            </w:pPr>
          </w:p>
        </w:tc>
        <w:tc>
          <w:tcPr>
            <w:tcW w:w="786" w:type="dxa"/>
            <w:vMerge w:val="continue"/>
            <w:vAlign w:val="center"/>
          </w:tcPr>
          <w:p>
            <w:pPr>
              <w:contextualSpacing/>
              <w:jc w:val="center"/>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062" w:type="dxa"/>
            <w:vMerge w:val="restart"/>
            <w:vAlign w:val="center"/>
          </w:tcPr>
          <w:p>
            <w:pPr>
              <w:contextualSpacing/>
              <w:jc w:val="center"/>
              <w:rPr>
                <w:rFonts w:ascii="宋体" w:hAnsi="宋体"/>
                <w:snapToGrid w:val="0"/>
                <w:kern w:val="0"/>
                <w:szCs w:val="21"/>
              </w:rPr>
            </w:pPr>
            <w:r>
              <w:rPr>
                <w:rFonts w:hint="eastAsia" w:ascii="宋体" w:hAnsi="宋体"/>
                <w:snapToGrid w:val="0"/>
                <w:kern w:val="0"/>
                <w:szCs w:val="21"/>
              </w:rPr>
              <w:t>综合商务（10分）</w:t>
            </w:r>
          </w:p>
          <w:p>
            <w:pPr>
              <w:contextualSpacing/>
              <w:jc w:val="center"/>
              <w:rPr>
                <w:rFonts w:ascii="宋体" w:hAnsi="宋体"/>
                <w:snapToGrid w:val="0"/>
                <w:kern w:val="0"/>
                <w:szCs w:val="21"/>
              </w:rPr>
            </w:pPr>
          </w:p>
          <w:p>
            <w:pPr>
              <w:contextualSpacing/>
              <w:jc w:val="center"/>
              <w:rPr>
                <w:rFonts w:ascii="宋体" w:hAnsi="宋体"/>
                <w:snapToGrid w:val="0"/>
                <w:kern w:val="0"/>
                <w:szCs w:val="21"/>
              </w:rPr>
            </w:pPr>
          </w:p>
        </w:tc>
        <w:tc>
          <w:tcPr>
            <w:tcW w:w="1725" w:type="dxa"/>
            <w:vAlign w:val="center"/>
          </w:tcPr>
          <w:p>
            <w:pPr>
              <w:adjustRightInd w:val="0"/>
              <w:contextualSpacing/>
              <w:rPr>
                <w:rFonts w:ascii="宋体" w:hAnsi="宋体"/>
                <w:snapToGrid w:val="0"/>
                <w:kern w:val="0"/>
                <w:szCs w:val="21"/>
              </w:rPr>
            </w:pPr>
            <w:r>
              <w:rPr>
                <w:rFonts w:hint="eastAsia" w:ascii="宋体" w:hAnsi="宋体"/>
                <w:snapToGrid w:val="0"/>
                <w:kern w:val="0"/>
                <w:szCs w:val="21"/>
              </w:rPr>
              <w:t>近三年同类项目业绩</w:t>
            </w:r>
          </w:p>
          <w:p>
            <w:pPr>
              <w:adjustRightInd w:val="0"/>
              <w:contextualSpacing/>
              <w:rPr>
                <w:rFonts w:ascii="宋体" w:hAnsi="宋体"/>
                <w:snapToGrid w:val="0"/>
                <w:kern w:val="0"/>
                <w:szCs w:val="21"/>
              </w:rPr>
            </w:pPr>
          </w:p>
        </w:tc>
        <w:tc>
          <w:tcPr>
            <w:tcW w:w="5853" w:type="dxa"/>
            <w:vAlign w:val="center"/>
          </w:tcPr>
          <w:p>
            <w:pPr>
              <w:adjustRightInd w:val="0"/>
              <w:contextualSpacing/>
              <w:rPr>
                <w:rFonts w:ascii="宋体" w:hAnsi="宋体"/>
                <w:snapToGrid w:val="0"/>
                <w:kern w:val="0"/>
                <w:szCs w:val="21"/>
              </w:rPr>
            </w:pPr>
            <w:r>
              <w:rPr>
                <w:rFonts w:hint="eastAsia" w:ascii="宋体" w:hAnsi="宋体"/>
                <w:snapToGrid w:val="0"/>
                <w:kern w:val="0"/>
                <w:szCs w:val="21"/>
              </w:rPr>
              <w:t>审查供应商做过的同类项目业绩（指灭火器维修）。</w:t>
            </w:r>
          </w:p>
          <w:p>
            <w:pPr>
              <w:adjustRightInd w:val="0"/>
              <w:contextualSpacing/>
              <w:rPr>
                <w:rFonts w:ascii="宋体" w:hAnsi="宋体"/>
                <w:snapToGrid w:val="0"/>
                <w:kern w:val="0"/>
                <w:szCs w:val="21"/>
              </w:rPr>
            </w:pPr>
            <w:r>
              <w:rPr>
                <w:rFonts w:hint="eastAsia" w:ascii="宋体" w:hAnsi="宋体"/>
                <w:snapToGrid w:val="0"/>
                <w:kern w:val="0"/>
                <w:szCs w:val="21"/>
              </w:rPr>
              <w:t>注：</w:t>
            </w:r>
          </w:p>
          <w:p>
            <w:pPr>
              <w:adjustRightInd w:val="0"/>
              <w:contextualSpacing/>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供应商需要提供2020年4月1日至响应文件</w:t>
            </w:r>
            <w:r>
              <w:rPr>
                <w:rFonts w:hint="eastAsia" w:ascii="宋体" w:hAnsi="宋体"/>
                <w:snapToGrid w:val="0"/>
                <w:kern w:val="0"/>
                <w:szCs w:val="21"/>
                <w:lang w:val="en-US" w:eastAsia="zh-CN"/>
              </w:rPr>
              <w:t>递交</w:t>
            </w:r>
            <w:r>
              <w:rPr>
                <w:rFonts w:hint="eastAsia" w:ascii="宋体" w:hAnsi="宋体"/>
                <w:snapToGrid w:val="0"/>
                <w:kern w:val="0"/>
                <w:szCs w:val="21"/>
              </w:rPr>
              <w:t>截止日止（以合同签订日期为准）同类项目的</w:t>
            </w:r>
            <w:r>
              <w:rPr>
                <w:rFonts w:hint="eastAsia" w:ascii="宋体" w:hAnsi="宋体"/>
                <w:b/>
                <w:bCs/>
                <w:snapToGrid w:val="0"/>
                <w:kern w:val="0"/>
                <w:szCs w:val="21"/>
              </w:rPr>
              <w:t>合同复印件并加盖供应商公章（应可从合同复印件中明确辨识出合同采购内容、金额明细、签订日期、双方盖章页）及对应项目的验收合格报告（复印件，加盖供应商公章）</w:t>
            </w:r>
            <w:r>
              <w:rPr>
                <w:rFonts w:hint="eastAsia" w:ascii="宋体" w:hAnsi="宋体"/>
                <w:snapToGrid w:val="0"/>
                <w:kern w:val="0"/>
                <w:szCs w:val="21"/>
              </w:rPr>
              <w:t>，每提供一个有效业绩得1分，最多得8分。</w:t>
            </w:r>
          </w:p>
          <w:p>
            <w:pPr>
              <w:adjustRightInd w:val="0"/>
              <w:contextualSpacing/>
              <w:rPr>
                <w:rFonts w:ascii="宋体" w:hAnsi="宋体"/>
                <w:snapToGrid w:val="0"/>
                <w:kern w:val="0"/>
                <w:szCs w:val="21"/>
              </w:rPr>
            </w:pPr>
            <w:r>
              <w:rPr>
                <w:rFonts w:hint="eastAsia" w:ascii="宋体" w:hAnsi="宋体"/>
                <w:snapToGrid w:val="0"/>
                <w:kern w:val="0"/>
                <w:szCs w:val="21"/>
              </w:rPr>
              <w:t>2</w:t>
            </w:r>
            <w:r>
              <w:rPr>
                <w:rFonts w:ascii="宋体" w:hAnsi="宋体"/>
                <w:snapToGrid w:val="0"/>
                <w:kern w:val="0"/>
                <w:szCs w:val="21"/>
              </w:rPr>
              <w:t>.</w:t>
            </w:r>
            <w:r>
              <w:rPr>
                <w:rFonts w:hint="eastAsia" w:ascii="宋体" w:hAnsi="宋体"/>
                <w:snapToGrid w:val="0"/>
                <w:kern w:val="0"/>
                <w:szCs w:val="21"/>
              </w:rPr>
              <w:t>对于上述所有要求，不提供或提供信息不全的，不得分。</w:t>
            </w:r>
          </w:p>
        </w:tc>
        <w:tc>
          <w:tcPr>
            <w:tcW w:w="786" w:type="dxa"/>
            <w:vAlign w:val="center"/>
          </w:tcPr>
          <w:p>
            <w:pPr>
              <w:contextualSpacing/>
              <w:jc w:val="center"/>
              <w:rPr>
                <w:rFonts w:ascii="宋体" w:hAnsi="宋体"/>
                <w:szCs w:val="21"/>
              </w:rPr>
            </w:pPr>
            <w:r>
              <w:rPr>
                <w:rFonts w:hint="eastAsia" w:ascii="宋体" w:hAnsi="宋体"/>
                <w:snapToGrid w:val="0"/>
                <w:kern w:val="0"/>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65" w:hRule="atLeast"/>
          <w:jc w:val="center"/>
        </w:trPr>
        <w:tc>
          <w:tcPr>
            <w:tcW w:w="1062" w:type="dxa"/>
            <w:vMerge w:val="continue"/>
            <w:vAlign w:val="center"/>
          </w:tcPr>
          <w:p>
            <w:pPr>
              <w:contextualSpacing/>
              <w:jc w:val="center"/>
              <w:rPr>
                <w:rFonts w:ascii="宋体" w:hAnsi="宋体"/>
                <w:snapToGrid w:val="0"/>
                <w:kern w:val="0"/>
                <w:szCs w:val="21"/>
              </w:rPr>
            </w:pPr>
          </w:p>
        </w:tc>
        <w:tc>
          <w:tcPr>
            <w:tcW w:w="1725" w:type="dxa"/>
            <w:vAlign w:val="center"/>
          </w:tcPr>
          <w:p>
            <w:pPr>
              <w:adjustRightInd w:val="0"/>
              <w:contextualSpacing/>
              <w:rPr>
                <w:rFonts w:ascii="宋体" w:hAnsi="宋体"/>
                <w:snapToGrid w:val="0"/>
                <w:kern w:val="0"/>
                <w:szCs w:val="21"/>
              </w:rPr>
            </w:pPr>
            <w:r>
              <w:rPr>
                <w:rFonts w:hint="eastAsia" w:ascii="宋体" w:hAnsi="宋体"/>
                <w:snapToGrid w:val="0"/>
                <w:kern w:val="0"/>
                <w:szCs w:val="21"/>
              </w:rPr>
              <w:t>有利于项目实施的专业资质</w:t>
            </w:r>
          </w:p>
        </w:tc>
        <w:tc>
          <w:tcPr>
            <w:tcW w:w="5853" w:type="dxa"/>
            <w:vAlign w:val="center"/>
          </w:tcPr>
          <w:p>
            <w:pPr>
              <w:adjustRightInd w:val="0"/>
              <w:contextualSpacing/>
              <w:rPr>
                <w:rFonts w:ascii="宋体" w:hAnsi="宋体"/>
                <w:snapToGrid w:val="0"/>
                <w:kern w:val="0"/>
                <w:szCs w:val="21"/>
              </w:rPr>
            </w:pPr>
            <w:r>
              <w:rPr>
                <w:rFonts w:hint="eastAsia" w:ascii="宋体" w:hAnsi="宋体"/>
                <w:snapToGrid w:val="0"/>
                <w:kern w:val="0"/>
                <w:szCs w:val="21"/>
              </w:rPr>
              <w:t>供应商具有质量管理体系认证、环境管理体系认证、职业健康安全管理体系认证，可得2分，提供部分证书得1分，无认证得0分。</w:t>
            </w:r>
          </w:p>
          <w:p>
            <w:pPr>
              <w:adjustRightInd w:val="0"/>
              <w:contextualSpacing/>
            </w:pPr>
            <w:r>
              <w:rPr>
                <w:rFonts w:hint="eastAsia" w:ascii="宋体" w:hAnsi="宋体"/>
                <w:snapToGrid w:val="0"/>
                <w:kern w:val="0"/>
                <w:szCs w:val="21"/>
              </w:rPr>
              <w:t>注：提供有效认证证书复印件加盖供应商公章。</w:t>
            </w:r>
          </w:p>
        </w:tc>
        <w:tc>
          <w:tcPr>
            <w:tcW w:w="786" w:type="dxa"/>
            <w:vAlign w:val="center"/>
          </w:tcPr>
          <w:p>
            <w:pPr>
              <w:contextualSpacing/>
              <w:jc w:val="center"/>
              <w:rPr>
                <w:rFonts w:ascii="宋体" w:hAnsi="宋体"/>
                <w:snapToGrid w:val="0"/>
                <w:kern w:val="0"/>
                <w:szCs w:val="21"/>
              </w:rPr>
            </w:pPr>
            <w:r>
              <w:rPr>
                <w:rFonts w:hint="eastAsia" w:ascii="宋体" w:hAnsi="宋体"/>
                <w:snapToGrid w:val="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3" w:hRule="atLeast"/>
          <w:jc w:val="center"/>
        </w:trPr>
        <w:tc>
          <w:tcPr>
            <w:tcW w:w="1062" w:type="dxa"/>
            <w:vMerge w:val="restart"/>
            <w:vAlign w:val="center"/>
          </w:tcPr>
          <w:p>
            <w:pPr>
              <w:contextualSpacing/>
              <w:rPr>
                <w:rFonts w:ascii="宋体" w:hAnsi="宋体"/>
                <w:snapToGrid w:val="0"/>
                <w:kern w:val="0"/>
                <w:szCs w:val="21"/>
              </w:rPr>
            </w:pPr>
            <w:r>
              <w:rPr>
                <w:rFonts w:hint="eastAsia" w:ascii="宋体" w:hAnsi="宋体"/>
                <w:snapToGrid w:val="0"/>
                <w:kern w:val="0"/>
                <w:szCs w:val="21"/>
              </w:rPr>
              <w:t>技术部分</w:t>
            </w:r>
          </w:p>
          <w:p>
            <w:pPr>
              <w:contextualSpacing/>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75</w:t>
            </w:r>
            <w:r>
              <w:rPr>
                <w:rFonts w:hint="eastAsia" w:ascii="宋体" w:hAnsi="宋体"/>
                <w:snapToGrid w:val="0"/>
                <w:kern w:val="0"/>
                <w:szCs w:val="21"/>
              </w:rPr>
              <w:t>分)</w:t>
            </w:r>
          </w:p>
        </w:tc>
        <w:tc>
          <w:tcPr>
            <w:tcW w:w="1725" w:type="dxa"/>
            <w:vMerge w:val="restart"/>
            <w:vAlign w:val="center"/>
          </w:tcPr>
          <w:p>
            <w:pPr>
              <w:contextualSpacing/>
              <w:rPr>
                <w:rFonts w:ascii="宋体" w:hAnsi="宋体"/>
                <w:snapToGrid w:val="0"/>
                <w:kern w:val="0"/>
                <w:szCs w:val="21"/>
              </w:rPr>
            </w:pPr>
            <w:r>
              <w:rPr>
                <w:rFonts w:hint="eastAsia" w:ascii="宋体" w:hAnsi="宋体"/>
                <w:szCs w:val="21"/>
              </w:rPr>
              <w:t>技术响应</w:t>
            </w:r>
          </w:p>
        </w:tc>
        <w:tc>
          <w:tcPr>
            <w:tcW w:w="5853" w:type="dxa"/>
            <w:vAlign w:val="center"/>
          </w:tcPr>
          <w:p>
            <w:pPr>
              <w:contextualSpacing/>
              <w:jc w:val="left"/>
              <w:rPr>
                <w:rFonts w:ascii="宋体" w:hAnsi="宋体"/>
                <w:szCs w:val="21"/>
              </w:rPr>
            </w:pPr>
            <w:r>
              <w:rPr>
                <w:rFonts w:hint="eastAsia" w:ascii="宋体" w:hAnsi="宋体"/>
                <w:szCs w:val="21"/>
              </w:rPr>
              <w:t>综合技术性能全部响应比选文件第四章《采购需求》</w:t>
            </w:r>
            <w:r>
              <w:rPr>
                <w:rFonts w:ascii="宋体" w:hAnsi="宋体"/>
                <w:szCs w:val="21"/>
              </w:rPr>
              <w:t>，得满分。</w:t>
            </w:r>
          </w:p>
        </w:tc>
        <w:tc>
          <w:tcPr>
            <w:tcW w:w="786" w:type="dxa"/>
            <w:vMerge w:val="restart"/>
            <w:vAlign w:val="center"/>
          </w:tcPr>
          <w:p>
            <w:pPr>
              <w:contextualSpacing/>
              <w:jc w:val="center"/>
              <w:rPr>
                <w:rFonts w:ascii="宋体" w:hAnsi="宋体"/>
                <w:szCs w:val="21"/>
              </w:rPr>
            </w:pPr>
            <w:r>
              <w:rPr>
                <w:rFonts w:hint="eastAsia" w:ascii="宋体" w:hAnsi="宋体"/>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0" w:hRule="atLeast"/>
          <w:jc w:val="center"/>
        </w:trPr>
        <w:tc>
          <w:tcPr>
            <w:tcW w:w="1062" w:type="dxa"/>
            <w:vMerge w:val="continue"/>
            <w:vAlign w:val="center"/>
          </w:tcPr>
          <w:p>
            <w:pPr>
              <w:contextualSpacing/>
              <w:jc w:val="center"/>
              <w:rPr>
                <w:rFonts w:ascii="宋体" w:hAnsi="宋体"/>
                <w:snapToGrid w:val="0"/>
                <w:kern w:val="0"/>
                <w:szCs w:val="21"/>
              </w:rPr>
            </w:pPr>
          </w:p>
        </w:tc>
        <w:tc>
          <w:tcPr>
            <w:tcW w:w="1725" w:type="dxa"/>
            <w:vMerge w:val="continue"/>
            <w:vAlign w:val="center"/>
          </w:tcPr>
          <w:p>
            <w:pPr>
              <w:contextualSpacing/>
              <w:rPr>
                <w:rFonts w:ascii="宋体" w:hAnsi="宋体"/>
                <w:szCs w:val="21"/>
              </w:rPr>
            </w:pPr>
          </w:p>
        </w:tc>
        <w:tc>
          <w:tcPr>
            <w:tcW w:w="5853" w:type="dxa"/>
            <w:vAlign w:val="center"/>
          </w:tcPr>
          <w:p>
            <w:pPr>
              <w:contextualSpacing/>
              <w:jc w:val="left"/>
            </w:pPr>
            <w:r>
              <w:rPr>
                <w:rFonts w:hint="eastAsia"/>
              </w:rPr>
              <w:t xml:space="preserve">综合技术性能有欠缺的： </w:t>
            </w:r>
          </w:p>
          <w:p>
            <w:pPr>
              <w:contextualSpacing/>
              <w:jc w:val="left"/>
            </w:pPr>
            <w:r>
              <w:rPr>
                <w:rFonts w:hint="eastAsia"/>
              </w:rPr>
              <w:t>每有一项负偏离，扣1分，最低减至0分。</w:t>
            </w:r>
          </w:p>
          <w:p>
            <w:pPr>
              <w:pStyle w:val="2"/>
              <w:ind w:firstLine="0"/>
            </w:pPr>
            <w:r>
              <w:rPr>
                <w:rFonts w:hint="eastAsia" w:ascii="Times New Roman" w:hAnsi="Times New Roman"/>
                <w:sz w:val="21"/>
                <w:szCs w:val="24"/>
              </w:rPr>
              <w:t>注：供应商须对本比选文件第四章《采购需求》技术要求进行点对点应答，必须在引用比选文件的基础上，进行逐条逐项答复、说明和解释，设备参数应明确具体数值。</w:t>
            </w:r>
          </w:p>
        </w:tc>
        <w:tc>
          <w:tcPr>
            <w:tcW w:w="786" w:type="dxa"/>
            <w:vMerge w:val="continue"/>
            <w:vAlign w:val="center"/>
          </w:tcPr>
          <w:p>
            <w:pPr>
              <w:contextualSpacing/>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1062" w:type="dxa"/>
            <w:vMerge w:val="continue"/>
            <w:vAlign w:val="center"/>
          </w:tcPr>
          <w:p>
            <w:pPr>
              <w:contextualSpacing/>
              <w:jc w:val="center"/>
              <w:rPr>
                <w:rFonts w:ascii="宋体" w:hAnsi="宋体"/>
                <w:snapToGrid w:val="0"/>
                <w:kern w:val="0"/>
                <w:szCs w:val="21"/>
              </w:rPr>
            </w:pPr>
          </w:p>
        </w:tc>
        <w:tc>
          <w:tcPr>
            <w:tcW w:w="1725" w:type="dxa"/>
            <w:vAlign w:val="center"/>
          </w:tcPr>
          <w:p>
            <w:pPr>
              <w:spacing w:line="360" w:lineRule="auto"/>
              <w:rPr>
                <w:rFonts w:ascii="宋体" w:hAnsi="宋体"/>
                <w:szCs w:val="21"/>
              </w:rPr>
            </w:pPr>
            <w:r>
              <w:rPr>
                <w:rFonts w:hint="eastAsia" w:ascii="宋体" w:hAnsi="宋体"/>
                <w:szCs w:val="21"/>
              </w:rPr>
              <w:t>供货保障方案</w:t>
            </w:r>
          </w:p>
        </w:tc>
        <w:tc>
          <w:tcPr>
            <w:tcW w:w="5853" w:type="dxa"/>
            <w:vAlign w:val="center"/>
          </w:tcPr>
          <w:p>
            <w:pPr>
              <w:spacing w:line="360" w:lineRule="auto"/>
              <w:rPr>
                <w:rFonts w:ascii="宋体" w:hAnsi="宋体"/>
                <w:szCs w:val="21"/>
              </w:rPr>
            </w:pPr>
            <w:r>
              <w:rPr>
                <w:rFonts w:hint="eastAsia" w:ascii="宋体" w:hAnsi="宋体"/>
                <w:szCs w:val="21"/>
              </w:rPr>
              <w:t>审查供应商提供的供货保障方案，从交货质量合格率、响应时间、供货计划，供货组织结构、项目团队配置方面进行审查；</w:t>
            </w:r>
          </w:p>
          <w:p>
            <w:pPr>
              <w:spacing w:line="360" w:lineRule="auto"/>
              <w:rPr>
                <w:rFonts w:ascii="宋体" w:hAnsi="宋体"/>
                <w:szCs w:val="21"/>
              </w:rPr>
            </w:pPr>
            <w:r>
              <w:rPr>
                <w:rFonts w:hint="eastAsia" w:ascii="宋体" w:hAnsi="宋体"/>
                <w:szCs w:val="21"/>
              </w:rPr>
              <w:t>（1）供货保障方案完整、全面，响应速度快，供货计划全面、条理清晰，供货组织结构明确合理，团队人员配置完善合理、分工明确，与采购人的需求契合度高得</w:t>
            </w:r>
            <w:r>
              <w:rPr>
                <w:rFonts w:ascii="宋体" w:hAnsi="宋体"/>
                <w:szCs w:val="21"/>
              </w:rPr>
              <w:t>8</w:t>
            </w:r>
            <w:r>
              <w:rPr>
                <w:rFonts w:hint="eastAsia" w:ascii="宋体" w:hAnsi="宋体"/>
                <w:szCs w:val="21"/>
              </w:rPr>
              <w:t>分；</w:t>
            </w:r>
          </w:p>
          <w:p>
            <w:pPr>
              <w:spacing w:line="360" w:lineRule="auto"/>
              <w:rPr>
                <w:rFonts w:ascii="宋体" w:hAnsi="宋体"/>
                <w:szCs w:val="21"/>
              </w:rPr>
            </w:pPr>
            <w:r>
              <w:rPr>
                <w:rFonts w:hint="eastAsia" w:ascii="宋体" w:hAnsi="宋体"/>
                <w:szCs w:val="21"/>
              </w:rPr>
              <w:t xml:space="preserve">（2）供货保障方案较完整、全面，响应速度较快，供货计划较全面、条理较清晰，供货组织结构较明确合理，团队人员较配置完善合理、分工较明确，完全吻合采购人的实际需求得4分； </w:t>
            </w:r>
          </w:p>
          <w:p>
            <w:pPr>
              <w:spacing w:line="360" w:lineRule="auto"/>
              <w:rPr>
                <w:rFonts w:ascii="宋体" w:hAnsi="宋体"/>
                <w:szCs w:val="21"/>
              </w:rPr>
            </w:pPr>
            <w:r>
              <w:rPr>
                <w:rFonts w:hint="eastAsia" w:ascii="宋体" w:hAnsi="宋体"/>
                <w:szCs w:val="21"/>
              </w:rPr>
              <w:t>（3）供货保障方案一般或部分满足得2分；</w:t>
            </w:r>
          </w:p>
          <w:p>
            <w:pPr>
              <w:spacing w:line="360" w:lineRule="exact"/>
              <w:rPr>
                <w:rFonts w:ascii="宋体" w:hAnsi="宋体"/>
                <w:szCs w:val="21"/>
              </w:rPr>
            </w:pPr>
            <w:r>
              <w:rPr>
                <w:rFonts w:hint="eastAsia" w:ascii="宋体" w:hAnsi="宋体"/>
                <w:szCs w:val="21"/>
              </w:rPr>
              <w:t>（4）不详细或不满足得0分。</w:t>
            </w:r>
          </w:p>
        </w:tc>
        <w:tc>
          <w:tcPr>
            <w:tcW w:w="786" w:type="dxa"/>
            <w:vAlign w:val="center"/>
          </w:tcPr>
          <w:p>
            <w:pPr>
              <w:jc w:val="center"/>
              <w:rPr>
                <w:rFonts w:ascii="宋体" w:hAnsi="宋体"/>
                <w:szCs w:val="21"/>
              </w:rPr>
            </w:pPr>
            <w:r>
              <w:rPr>
                <w:rFonts w:hint="eastAsia" w:ascii="宋体" w:hAnsi="宋体"/>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0" w:hRule="atLeast"/>
          <w:jc w:val="center"/>
        </w:trPr>
        <w:tc>
          <w:tcPr>
            <w:tcW w:w="1062" w:type="dxa"/>
            <w:vMerge w:val="continue"/>
            <w:vAlign w:val="center"/>
          </w:tcPr>
          <w:p>
            <w:pPr>
              <w:contextualSpacing/>
              <w:jc w:val="center"/>
              <w:rPr>
                <w:rFonts w:ascii="宋体" w:hAnsi="宋体"/>
                <w:snapToGrid w:val="0"/>
                <w:kern w:val="0"/>
                <w:szCs w:val="21"/>
              </w:rPr>
            </w:pPr>
          </w:p>
        </w:tc>
        <w:tc>
          <w:tcPr>
            <w:tcW w:w="1725" w:type="dxa"/>
            <w:vAlign w:val="center"/>
          </w:tcPr>
          <w:p>
            <w:pPr>
              <w:spacing w:line="360" w:lineRule="auto"/>
              <w:rPr>
                <w:rFonts w:ascii="宋体" w:hAnsi="宋体"/>
                <w:szCs w:val="21"/>
              </w:rPr>
            </w:pPr>
            <w:r>
              <w:rPr>
                <w:rFonts w:hint="eastAsia" w:ascii="宋体" w:hAnsi="宋体"/>
                <w:szCs w:val="21"/>
              </w:rPr>
              <w:t>维修工作设计方案</w:t>
            </w:r>
          </w:p>
        </w:tc>
        <w:tc>
          <w:tcPr>
            <w:tcW w:w="5853" w:type="dxa"/>
            <w:vAlign w:val="center"/>
          </w:tcPr>
          <w:p>
            <w:pPr>
              <w:spacing w:line="360" w:lineRule="exact"/>
              <w:rPr>
                <w:rFonts w:ascii="宋体" w:hAnsi="宋体"/>
                <w:szCs w:val="21"/>
              </w:rPr>
            </w:pPr>
            <w:r>
              <w:rPr>
                <w:rFonts w:hint="eastAsia" w:ascii="宋体" w:hAnsi="宋体"/>
                <w:szCs w:val="21"/>
              </w:rPr>
              <w:t>供应商根据比选文件需求，结合本项目管理实际，制定维修工作设计方案，考察维修工作设计方案是否完善合理、有针对性：</w:t>
            </w:r>
          </w:p>
          <w:p>
            <w:pPr>
              <w:spacing w:line="360" w:lineRule="exact"/>
              <w:rPr>
                <w:rFonts w:ascii="宋体" w:hAnsi="宋体"/>
                <w:szCs w:val="21"/>
              </w:rPr>
            </w:pPr>
            <w:r>
              <w:rPr>
                <w:rFonts w:hint="eastAsia" w:ascii="宋体" w:hAnsi="宋体"/>
                <w:szCs w:val="21"/>
              </w:rPr>
              <w:t>完善合理、完全满足采购需求、针对性强得10分；</w:t>
            </w:r>
          </w:p>
          <w:p>
            <w:pPr>
              <w:spacing w:line="360" w:lineRule="exact"/>
              <w:rPr>
                <w:rFonts w:ascii="宋体" w:hAnsi="宋体"/>
                <w:szCs w:val="21"/>
              </w:rPr>
            </w:pPr>
            <w:r>
              <w:rPr>
                <w:rFonts w:hint="eastAsia" w:ascii="宋体" w:hAnsi="宋体"/>
                <w:szCs w:val="21"/>
              </w:rPr>
              <w:t>内容较合理，较满足采购需求、针对性较强得7分；</w:t>
            </w:r>
          </w:p>
          <w:p>
            <w:pPr>
              <w:spacing w:line="360" w:lineRule="exact"/>
              <w:rPr>
                <w:rFonts w:ascii="宋体" w:hAnsi="宋体"/>
                <w:szCs w:val="21"/>
              </w:rPr>
            </w:pPr>
            <w:r>
              <w:rPr>
                <w:rFonts w:hint="eastAsia" w:ascii="宋体" w:hAnsi="宋体"/>
                <w:szCs w:val="21"/>
              </w:rPr>
              <w:t>内容一般，基本满足采购需求，针对性不足得4分；</w:t>
            </w:r>
          </w:p>
          <w:p>
            <w:pPr>
              <w:spacing w:line="360" w:lineRule="exact"/>
              <w:rPr>
                <w:rFonts w:ascii="宋体" w:hAnsi="宋体"/>
                <w:szCs w:val="21"/>
              </w:rPr>
            </w:pPr>
            <w:r>
              <w:rPr>
                <w:rFonts w:hint="eastAsia" w:ascii="宋体" w:hAnsi="宋体"/>
                <w:szCs w:val="21"/>
              </w:rPr>
              <w:t>内容不合理，针对性差得1分；</w:t>
            </w:r>
          </w:p>
          <w:p>
            <w:pPr>
              <w:spacing w:line="360" w:lineRule="exact"/>
              <w:rPr>
                <w:rFonts w:ascii="宋体" w:hAnsi="宋体"/>
                <w:szCs w:val="21"/>
              </w:rPr>
            </w:pPr>
            <w:r>
              <w:rPr>
                <w:rFonts w:hint="eastAsia" w:ascii="宋体" w:hAnsi="宋体"/>
                <w:szCs w:val="21"/>
              </w:rPr>
              <w:t>完全不满足要求得0分。</w:t>
            </w:r>
          </w:p>
        </w:tc>
        <w:tc>
          <w:tcPr>
            <w:tcW w:w="786" w:type="dxa"/>
            <w:vAlign w:val="center"/>
          </w:tcPr>
          <w:p>
            <w:pPr>
              <w:spacing w:line="360" w:lineRule="auto"/>
              <w:jc w:val="center"/>
              <w:rPr>
                <w:rFonts w:ascii="宋体" w:hAnsi="宋体"/>
                <w:szCs w:val="21"/>
              </w:rPr>
            </w:pPr>
            <w:r>
              <w:rPr>
                <w:rFonts w:hint="eastAsia" w:ascii="宋体" w:hAnsi="宋体"/>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1062" w:type="dxa"/>
            <w:vMerge w:val="continue"/>
            <w:vAlign w:val="center"/>
          </w:tcPr>
          <w:p>
            <w:pPr>
              <w:contextualSpacing/>
              <w:jc w:val="center"/>
              <w:rPr>
                <w:rFonts w:ascii="宋体" w:hAnsi="宋体"/>
                <w:snapToGrid w:val="0"/>
                <w:kern w:val="0"/>
                <w:szCs w:val="21"/>
              </w:rPr>
            </w:pPr>
          </w:p>
        </w:tc>
        <w:tc>
          <w:tcPr>
            <w:tcW w:w="1725" w:type="dxa"/>
            <w:vAlign w:val="center"/>
          </w:tcPr>
          <w:p>
            <w:pPr>
              <w:spacing w:line="360" w:lineRule="auto"/>
              <w:rPr>
                <w:rFonts w:ascii="宋体" w:hAnsi="宋体"/>
                <w:szCs w:val="21"/>
              </w:rPr>
            </w:pPr>
            <w:r>
              <w:rPr>
                <w:rFonts w:hint="eastAsia" w:ascii="宋体" w:hAnsi="宋体"/>
                <w:szCs w:val="21"/>
              </w:rPr>
              <w:t>质保期及质量保证承诺</w:t>
            </w:r>
          </w:p>
        </w:tc>
        <w:tc>
          <w:tcPr>
            <w:tcW w:w="5853" w:type="dxa"/>
            <w:vAlign w:val="center"/>
          </w:tcPr>
          <w:p>
            <w:pPr>
              <w:spacing w:line="360" w:lineRule="auto"/>
              <w:rPr>
                <w:rFonts w:ascii="宋体" w:hAnsi="宋体"/>
                <w:szCs w:val="21"/>
              </w:rPr>
            </w:pPr>
            <w:r>
              <w:rPr>
                <w:rFonts w:hint="eastAsia" w:ascii="宋体" w:hAnsi="宋体"/>
                <w:szCs w:val="21"/>
              </w:rPr>
              <w:t>1）质保期满足比选文件要求得</w:t>
            </w:r>
            <w:r>
              <w:rPr>
                <w:rFonts w:ascii="宋体" w:hAnsi="宋体"/>
                <w:szCs w:val="21"/>
              </w:rPr>
              <w:t>10</w:t>
            </w:r>
            <w:r>
              <w:rPr>
                <w:rFonts w:hint="eastAsia" w:ascii="宋体" w:hAnsi="宋体"/>
                <w:szCs w:val="21"/>
              </w:rPr>
              <w:t>分，不满足得0分。</w:t>
            </w:r>
          </w:p>
          <w:p>
            <w:pPr>
              <w:spacing w:line="360" w:lineRule="auto"/>
              <w:rPr>
                <w:rFonts w:ascii="宋体" w:hAnsi="宋体"/>
                <w:szCs w:val="21"/>
              </w:rPr>
            </w:pPr>
            <w:r>
              <w:rPr>
                <w:rFonts w:hint="eastAsia" w:ascii="宋体" w:hAnsi="宋体"/>
                <w:szCs w:val="21"/>
              </w:rPr>
              <w:t>2）综合审查投标人针对提供的货物和项目执行过程中的质量保证承诺，需包括但不限于针对提供的货物的采购、安装、调试、检验等环节的承诺；详细的质量控制计划和供应管理办法；积极响应采购人的需求的承诺等；</w:t>
            </w:r>
          </w:p>
          <w:p>
            <w:pPr>
              <w:spacing w:line="360" w:lineRule="auto"/>
              <w:rPr>
                <w:rFonts w:ascii="宋体" w:hAnsi="宋体"/>
                <w:szCs w:val="21"/>
              </w:rPr>
            </w:pPr>
            <w:r>
              <w:rPr>
                <w:rFonts w:hint="eastAsia" w:ascii="宋体" w:hAnsi="宋体"/>
                <w:szCs w:val="21"/>
              </w:rPr>
              <w:t>（1）以上质量保证承诺完整、全面、合理，与采购人的需求契合度高得得</w:t>
            </w:r>
            <w:r>
              <w:rPr>
                <w:rFonts w:ascii="宋体" w:hAnsi="宋体"/>
                <w:szCs w:val="21"/>
              </w:rPr>
              <w:t>6</w:t>
            </w:r>
            <w:r>
              <w:rPr>
                <w:rFonts w:hint="eastAsia" w:ascii="宋体" w:hAnsi="宋体"/>
                <w:szCs w:val="21"/>
              </w:rPr>
              <w:t>分；</w:t>
            </w:r>
          </w:p>
          <w:p>
            <w:pPr>
              <w:spacing w:line="360" w:lineRule="auto"/>
              <w:rPr>
                <w:rFonts w:ascii="宋体" w:hAnsi="宋体"/>
                <w:szCs w:val="21"/>
              </w:rPr>
            </w:pPr>
            <w:r>
              <w:rPr>
                <w:rFonts w:hint="eastAsia" w:ascii="宋体" w:hAnsi="宋体"/>
                <w:szCs w:val="21"/>
              </w:rPr>
              <w:t>（2）以上质量保证承诺制定存在缺陷，能基本满足采购人的需要得</w:t>
            </w:r>
            <w:r>
              <w:rPr>
                <w:rFonts w:ascii="宋体" w:hAnsi="宋体"/>
                <w:szCs w:val="21"/>
              </w:rPr>
              <w:t>3</w:t>
            </w:r>
            <w:r>
              <w:rPr>
                <w:rFonts w:hint="eastAsia" w:ascii="宋体" w:hAnsi="宋体"/>
                <w:szCs w:val="21"/>
              </w:rPr>
              <w:t>分；</w:t>
            </w:r>
          </w:p>
          <w:p>
            <w:pPr>
              <w:spacing w:line="360" w:lineRule="auto"/>
              <w:rPr>
                <w:rFonts w:ascii="宋体" w:hAnsi="宋体"/>
                <w:szCs w:val="21"/>
              </w:rPr>
            </w:pPr>
            <w:r>
              <w:rPr>
                <w:rFonts w:hint="eastAsia" w:ascii="宋体" w:hAnsi="宋体"/>
                <w:szCs w:val="21"/>
              </w:rPr>
              <w:t>（3）未提供或不满足得0分。</w:t>
            </w:r>
          </w:p>
        </w:tc>
        <w:tc>
          <w:tcPr>
            <w:tcW w:w="786" w:type="dxa"/>
            <w:vAlign w:val="center"/>
          </w:tcPr>
          <w:p>
            <w:pPr>
              <w:spacing w:line="360" w:lineRule="auto"/>
              <w:jc w:val="center"/>
              <w:rPr>
                <w:rFonts w:ascii="宋体" w:hAnsi="宋体"/>
                <w:szCs w:val="21"/>
              </w:rPr>
            </w:pPr>
            <w:r>
              <w:rPr>
                <w:rFonts w:hint="eastAsia" w:ascii="宋体" w:hAnsi="宋体"/>
                <w:szCs w:val="21"/>
              </w:rPr>
              <w:t>0-1</w:t>
            </w: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1062" w:type="dxa"/>
            <w:vMerge w:val="continue"/>
            <w:vAlign w:val="center"/>
          </w:tcPr>
          <w:p>
            <w:pPr>
              <w:contextualSpacing/>
              <w:jc w:val="center"/>
              <w:rPr>
                <w:rFonts w:ascii="宋体" w:hAnsi="宋体"/>
                <w:snapToGrid w:val="0"/>
                <w:kern w:val="0"/>
                <w:szCs w:val="21"/>
              </w:rPr>
            </w:pPr>
          </w:p>
        </w:tc>
        <w:tc>
          <w:tcPr>
            <w:tcW w:w="1725" w:type="dxa"/>
            <w:vAlign w:val="center"/>
          </w:tcPr>
          <w:p>
            <w:pPr>
              <w:spacing w:line="360" w:lineRule="auto"/>
              <w:rPr>
                <w:rFonts w:ascii="宋体" w:hAnsi="宋体"/>
                <w:snapToGrid w:val="0"/>
                <w:kern w:val="0"/>
                <w:szCs w:val="21"/>
              </w:rPr>
            </w:pPr>
            <w:r>
              <w:rPr>
                <w:rFonts w:hint="eastAsia" w:ascii="宋体" w:hAnsi="宋体"/>
                <w:szCs w:val="21"/>
              </w:rPr>
              <w:t>拟投入设备情况</w:t>
            </w:r>
          </w:p>
        </w:tc>
        <w:tc>
          <w:tcPr>
            <w:tcW w:w="5853" w:type="dxa"/>
            <w:vAlign w:val="center"/>
          </w:tcPr>
          <w:p>
            <w:pPr>
              <w:spacing w:line="360" w:lineRule="auto"/>
              <w:rPr>
                <w:rFonts w:ascii="宋体" w:hAnsi="宋体"/>
                <w:snapToGrid w:val="0"/>
                <w:kern w:val="0"/>
                <w:szCs w:val="21"/>
              </w:rPr>
            </w:pPr>
            <w:r>
              <w:rPr>
                <w:rFonts w:ascii="宋体" w:hAnsi="宋体"/>
                <w:snapToGrid w:val="0"/>
                <w:kern w:val="0"/>
                <w:szCs w:val="21"/>
              </w:rPr>
              <w:t>拟投入设备种类丰富</w:t>
            </w:r>
            <w:r>
              <w:rPr>
                <w:rFonts w:hint="eastAsia" w:ascii="宋体" w:hAnsi="宋体"/>
                <w:snapToGrid w:val="0"/>
                <w:kern w:val="0"/>
                <w:szCs w:val="21"/>
              </w:rPr>
              <w:t>，</w:t>
            </w:r>
            <w:r>
              <w:rPr>
                <w:rFonts w:ascii="宋体" w:hAnsi="宋体"/>
                <w:snapToGrid w:val="0"/>
                <w:kern w:val="0"/>
                <w:szCs w:val="21"/>
              </w:rPr>
              <w:t>选型合理</w:t>
            </w:r>
            <w:r>
              <w:rPr>
                <w:rFonts w:hint="eastAsia" w:ascii="宋体" w:hAnsi="宋体"/>
                <w:snapToGrid w:val="0"/>
                <w:kern w:val="0"/>
                <w:szCs w:val="21"/>
              </w:rPr>
              <w:t>，与采购需求契合度高，可以保障检测服务需求得8分；</w:t>
            </w:r>
          </w:p>
          <w:p>
            <w:pPr>
              <w:spacing w:line="360" w:lineRule="auto"/>
              <w:rPr>
                <w:rFonts w:ascii="宋体" w:hAnsi="宋体"/>
                <w:snapToGrid w:val="0"/>
                <w:kern w:val="0"/>
                <w:szCs w:val="21"/>
              </w:rPr>
            </w:pPr>
            <w:r>
              <w:rPr>
                <w:rFonts w:hint="eastAsia" w:ascii="宋体" w:hAnsi="宋体"/>
                <w:snapToGrid w:val="0"/>
                <w:kern w:val="0"/>
                <w:szCs w:val="21"/>
              </w:rPr>
              <w:t>拟投入设备种类较丰富，选型与采购需求较契合，可以较好的满足检测服务需求得5分；</w:t>
            </w:r>
          </w:p>
          <w:p>
            <w:pPr>
              <w:spacing w:line="360" w:lineRule="auto"/>
              <w:rPr>
                <w:rFonts w:ascii="宋体" w:hAnsi="宋体"/>
                <w:snapToGrid w:val="0"/>
                <w:kern w:val="0"/>
                <w:szCs w:val="21"/>
              </w:rPr>
            </w:pPr>
            <w:r>
              <w:rPr>
                <w:rFonts w:hint="eastAsia" w:ascii="宋体" w:hAnsi="宋体"/>
                <w:snapToGrid w:val="0"/>
                <w:kern w:val="0"/>
                <w:szCs w:val="21"/>
              </w:rPr>
              <w:t>拟投入设备种类一般，选型与采购需求基本契合，基本满足检测服务需求得3分；</w:t>
            </w:r>
          </w:p>
          <w:p>
            <w:pPr>
              <w:spacing w:line="360" w:lineRule="auto"/>
              <w:rPr>
                <w:rFonts w:ascii="宋体" w:hAnsi="宋体"/>
                <w:snapToGrid w:val="0"/>
                <w:kern w:val="0"/>
                <w:szCs w:val="21"/>
              </w:rPr>
            </w:pPr>
            <w:r>
              <w:rPr>
                <w:rFonts w:hint="eastAsia" w:ascii="宋体" w:hAnsi="宋体"/>
                <w:snapToGrid w:val="0"/>
                <w:kern w:val="0"/>
                <w:szCs w:val="21"/>
              </w:rPr>
              <w:t>拟投入设备种类较少，选型与采购需求契合度差，无法保障采购需求得1分；</w:t>
            </w:r>
          </w:p>
          <w:p>
            <w:pPr>
              <w:spacing w:line="360" w:lineRule="auto"/>
              <w:rPr>
                <w:rFonts w:ascii="宋体" w:hAnsi="宋体"/>
                <w:szCs w:val="21"/>
              </w:rPr>
            </w:pPr>
            <w:r>
              <w:rPr>
                <w:rFonts w:hint="eastAsia" w:ascii="宋体" w:hAnsi="宋体"/>
                <w:snapToGrid w:val="0"/>
                <w:kern w:val="0"/>
                <w:szCs w:val="21"/>
              </w:rPr>
              <w:t>未提供相关材料得0分。</w:t>
            </w:r>
          </w:p>
        </w:tc>
        <w:tc>
          <w:tcPr>
            <w:tcW w:w="786" w:type="dxa"/>
            <w:vAlign w:val="center"/>
          </w:tcPr>
          <w:p>
            <w:pPr>
              <w:spacing w:line="360" w:lineRule="auto"/>
              <w:jc w:val="center"/>
              <w:rPr>
                <w:rFonts w:ascii="宋体" w:hAnsi="宋体"/>
                <w:szCs w:val="21"/>
              </w:rPr>
            </w:pPr>
            <w:r>
              <w:rPr>
                <w:rFonts w:hint="eastAsia" w:ascii="宋体" w:hAnsi="宋体"/>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0" w:hRule="atLeast"/>
          <w:jc w:val="center"/>
        </w:trPr>
        <w:tc>
          <w:tcPr>
            <w:tcW w:w="1062" w:type="dxa"/>
            <w:vMerge w:val="continue"/>
            <w:vAlign w:val="center"/>
          </w:tcPr>
          <w:p>
            <w:pPr>
              <w:contextualSpacing/>
              <w:jc w:val="center"/>
              <w:rPr>
                <w:rFonts w:ascii="宋体" w:hAnsi="宋体"/>
                <w:snapToGrid w:val="0"/>
                <w:kern w:val="0"/>
                <w:szCs w:val="21"/>
              </w:rPr>
            </w:pPr>
          </w:p>
        </w:tc>
        <w:tc>
          <w:tcPr>
            <w:tcW w:w="1725" w:type="dxa"/>
            <w:vAlign w:val="center"/>
          </w:tcPr>
          <w:p>
            <w:pPr>
              <w:spacing w:line="360" w:lineRule="auto"/>
              <w:rPr>
                <w:rFonts w:ascii="宋体" w:hAnsi="宋体"/>
                <w:szCs w:val="21"/>
              </w:rPr>
            </w:pPr>
            <w:r>
              <w:rPr>
                <w:rFonts w:hint="eastAsia" w:ascii="宋体" w:hAnsi="宋体"/>
                <w:szCs w:val="21"/>
              </w:rPr>
              <w:t>拟投入服务人员情况（要求</w:t>
            </w:r>
            <w:bookmarkStart w:id="663" w:name="_Hlk132972396"/>
            <w:r>
              <w:rPr>
                <w:rFonts w:hint="eastAsia" w:ascii="宋体" w:hAnsi="宋体"/>
                <w:szCs w:val="21"/>
              </w:rPr>
              <w:t>提供人员证书及最近连续三个月的社保缴纳证明材料</w:t>
            </w:r>
            <w:bookmarkEnd w:id="663"/>
            <w:r>
              <w:rPr>
                <w:rFonts w:hint="eastAsia" w:ascii="宋体" w:hAnsi="宋体"/>
                <w:szCs w:val="21"/>
              </w:rPr>
              <w:t>）</w:t>
            </w:r>
          </w:p>
        </w:tc>
        <w:tc>
          <w:tcPr>
            <w:tcW w:w="5853" w:type="dxa"/>
            <w:vAlign w:val="center"/>
          </w:tcPr>
          <w:p>
            <w:pPr>
              <w:spacing w:line="360" w:lineRule="auto"/>
              <w:rPr>
                <w:rFonts w:ascii="宋体" w:hAnsi="宋体"/>
                <w:snapToGrid w:val="0"/>
                <w:kern w:val="0"/>
                <w:szCs w:val="21"/>
              </w:rPr>
            </w:pPr>
            <w:r>
              <w:rPr>
                <w:rFonts w:hint="eastAsia" w:ascii="宋体" w:hAnsi="宋体"/>
                <w:snapToGrid w:val="0"/>
                <w:kern w:val="0"/>
                <w:szCs w:val="21"/>
              </w:rPr>
              <w:t>人员配置水平高，数量充足结构合理，专业资质齐全，稳定性有保障：8分；</w:t>
            </w:r>
          </w:p>
          <w:p>
            <w:pPr>
              <w:spacing w:line="360" w:lineRule="auto"/>
              <w:rPr>
                <w:rFonts w:ascii="宋体" w:hAnsi="宋体"/>
                <w:snapToGrid w:val="0"/>
                <w:kern w:val="0"/>
                <w:szCs w:val="21"/>
              </w:rPr>
            </w:pPr>
            <w:r>
              <w:rPr>
                <w:rFonts w:hint="eastAsia" w:ascii="宋体" w:hAnsi="宋体"/>
                <w:snapToGrid w:val="0"/>
                <w:kern w:val="0"/>
                <w:szCs w:val="21"/>
              </w:rPr>
              <w:t>人员配置水平较好，数量较多结构基本合理，专业资质情况较好，经验有欠缺：5分；</w:t>
            </w:r>
          </w:p>
          <w:p>
            <w:pPr>
              <w:spacing w:line="360" w:lineRule="auto"/>
              <w:rPr>
                <w:rFonts w:ascii="宋体" w:hAnsi="宋体"/>
                <w:snapToGrid w:val="0"/>
                <w:kern w:val="0"/>
                <w:szCs w:val="21"/>
              </w:rPr>
            </w:pPr>
            <w:r>
              <w:rPr>
                <w:rFonts w:hint="eastAsia" w:ascii="宋体" w:hAnsi="宋体"/>
                <w:snapToGrid w:val="0"/>
                <w:kern w:val="0"/>
                <w:szCs w:val="21"/>
              </w:rPr>
              <w:t>人员配置水平一般，数量较多结构不够合理，专业资质有欠缺：3分；</w:t>
            </w:r>
          </w:p>
          <w:p>
            <w:pPr>
              <w:spacing w:line="360" w:lineRule="auto"/>
              <w:rPr>
                <w:rFonts w:ascii="宋体" w:hAnsi="宋体"/>
                <w:snapToGrid w:val="0"/>
                <w:kern w:val="0"/>
                <w:szCs w:val="21"/>
              </w:rPr>
            </w:pPr>
            <w:r>
              <w:rPr>
                <w:rFonts w:hint="eastAsia" w:ascii="宋体" w:hAnsi="宋体"/>
                <w:snapToGrid w:val="0"/>
                <w:kern w:val="0"/>
                <w:szCs w:val="21"/>
              </w:rPr>
              <w:t>人员配置水平较差，数量少结构不够合理，专业资质情况较差：1分；</w:t>
            </w:r>
          </w:p>
          <w:p>
            <w:pPr>
              <w:spacing w:line="360" w:lineRule="auto"/>
              <w:rPr>
                <w:rFonts w:ascii="宋体" w:hAnsi="宋体"/>
                <w:szCs w:val="21"/>
              </w:rPr>
            </w:pPr>
            <w:r>
              <w:rPr>
                <w:rFonts w:hint="eastAsia" w:ascii="宋体" w:hAnsi="宋体"/>
                <w:snapToGrid w:val="0"/>
                <w:kern w:val="0"/>
                <w:szCs w:val="21"/>
              </w:rPr>
              <w:t>未提供相关材料或完全不满足采购需求得0分。</w:t>
            </w:r>
          </w:p>
        </w:tc>
        <w:tc>
          <w:tcPr>
            <w:tcW w:w="786" w:type="dxa"/>
            <w:vAlign w:val="center"/>
          </w:tcPr>
          <w:p>
            <w:pPr>
              <w:spacing w:line="360" w:lineRule="auto"/>
              <w:jc w:val="center"/>
              <w:rPr>
                <w:rFonts w:ascii="宋体" w:hAnsi="宋体"/>
                <w:szCs w:val="21"/>
              </w:rPr>
            </w:pPr>
            <w:r>
              <w:rPr>
                <w:rFonts w:hint="eastAsia" w:ascii="宋体" w:hAnsi="宋体"/>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0" w:hRule="atLeast"/>
          <w:jc w:val="center"/>
        </w:trPr>
        <w:tc>
          <w:tcPr>
            <w:tcW w:w="1062" w:type="dxa"/>
            <w:vMerge w:val="continue"/>
            <w:vAlign w:val="center"/>
          </w:tcPr>
          <w:p>
            <w:pPr>
              <w:contextualSpacing/>
              <w:jc w:val="center"/>
              <w:rPr>
                <w:rFonts w:ascii="宋体" w:hAnsi="宋体"/>
                <w:snapToGrid w:val="0"/>
                <w:kern w:val="0"/>
                <w:szCs w:val="21"/>
              </w:rPr>
            </w:pPr>
          </w:p>
        </w:tc>
        <w:tc>
          <w:tcPr>
            <w:tcW w:w="1725" w:type="dxa"/>
            <w:vAlign w:val="center"/>
          </w:tcPr>
          <w:p>
            <w:pPr>
              <w:spacing w:line="360" w:lineRule="auto"/>
              <w:rPr>
                <w:rFonts w:ascii="宋体" w:hAnsi="宋体"/>
                <w:szCs w:val="21"/>
              </w:rPr>
            </w:pPr>
            <w:r>
              <w:rPr>
                <w:rFonts w:hint="eastAsia" w:ascii="宋体" w:hAnsi="宋体"/>
                <w:szCs w:val="21"/>
              </w:rPr>
              <w:t>应急预案</w:t>
            </w:r>
          </w:p>
        </w:tc>
        <w:tc>
          <w:tcPr>
            <w:tcW w:w="5853" w:type="dxa"/>
            <w:vAlign w:val="center"/>
          </w:tcPr>
          <w:p>
            <w:pPr>
              <w:spacing w:line="360" w:lineRule="auto"/>
              <w:rPr>
                <w:rFonts w:ascii="宋体" w:hAnsi="宋体"/>
                <w:szCs w:val="21"/>
              </w:rPr>
            </w:pPr>
            <w:r>
              <w:rPr>
                <w:rFonts w:hint="eastAsia" w:ascii="宋体" w:hAnsi="宋体"/>
                <w:szCs w:val="21"/>
              </w:rPr>
              <w:t>考察应急预案的科学、合理、全面、针对性，可操作性：</w:t>
            </w:r>
          </w:p>
          <w:p>
            <w:pPr>
              <w:spacing w:line="360" w:lineRule="auto"/>
              <w:rPr>
                <w:rFonts w:ascii="宋体" w:hAnsi="宋体"/>
                <w:szCs w:val="21"/>
              </w:rPr>
            </w:pPr>
            <w:r>
              <w:rPr>
                <w:rFonts w:hint="eastAsia" w:ascii="宋体" w:hAnsi="宋体"/>
                <w:szCs w:val="21"/>
              </w:rPr>
              <w:t>内容详实，针对性强，充分为用户考虑得5分；</w:t>
            </w:r>
          </w:p>
          <w:p>
            <w:pPr>
              <w:spacing w:line="360" w:lineRule="auto"/>
              <w:rPr>
                <w:rFonts w:ascii="宋体" w:hAnsi="宋体"/>
                <w:szCs w:val="21"/>
              </w:rPr>
            </w:pPr>
            <w:r>
              <w:rPr>
                <w:rFonts w:hint="eastAsia" w:ascii="宋体" w:hAnsi="宋体"/>
                <w:szCs w:val="21"/>
              </w:rPr>
              <w:t>内容较齐全，针对性一般，基本满足用户需求得3分；</w:t>
            </w:r>
          </w:p>
          <w:p>
            <w:pPr>
              <w:spacing w:line="360" w:lineRule="auto"/>
              <w:rPr>
                <w:rFonts w:ascii="宋体" w:hAnsi="宋体"/>
                <w:szCs w:val="21"/>
              </w:rPr>
            </w:pPr>
            <w:r>
              <w:rPr>
                <w:rFonts w:hint="eastAsia" w:ascii="宋体" w:hAnsi="宋体"/>
                <w:szCs w:val="21"/>
              </w:rPr>
              <w:t>内容不全面，针对性差，得1分；</w:t>
            </w:r>
          </w:p>
          <w:p>
            <w:pPr>
              <w:spacing w:line="360" w:lineRule="auto"/>
              <w:rPr>
                <w:rFonts w:ascii="宋体" w:hAnsi="宋体"/>
                <w:szCs w:val="21"/>
              </w:rPr>
            </w:pPr>
            <w:r>
              <w:rPr>
                <w:rFonts w:hint="eastAsia" w:ascii="宋体" w:hAnsi="宋体"/>
                <w:szCs w:val="21"/>
              </w:rPr>
              <w:t>未提供相关方案，得0分</w:t>
            </w:r>
          </w:p>
        </w:tc>
        <w:tc>
          <w:tcPr>
            <w:tcW w:w="786" w:type="dxa"/>
            <w:vAlign w:val="center"/>
          </w:tcPr>
          <w:p>
            <w:pPr>
              <w:spacing w:line="360" w:lineRule="auto"/>
              <w:jc w:val="center"/>
              <w:rPr>
                <w:rFonts w:ascii="宋体" w:hAnsi="宋体"/>
                <w:szCs w:val="21"/>
              </w:rPr>
            </w:pPr>
            <w:r>
              <w:rPr>
                <w:rFonts w:hint="eastAsia" w:ascii="宋体" w:hAnsi="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1062" w:type="dxa"/>
            <w:vAlign w:val="center"/>
          </w:tcPr>
          <w:p>
            <w:pPr>
              <w:contextualSpacing/>
              <w:jc w:val="center"/>
              <w:rPr>
                <w:rFonts w:ascii="宋体" w:hAnsi="宋体"/>
                <w:snapToGrid w:val="0"/>
                <w:kern w:val="0"/>
                <w:szCs w:val="21"/>
              </w:rPr>
            </w:pPr>
            <w:r>
              <w:rPr>
                <w:rFonts w:hint="eastAsia" w:ascii="宋体" w:hAnsi="宋体"/>
                <w:snapToGrid w:val="0"/>
                <w:kern w:val="0"/>
                <w:szCs w:val="21"/>
              </w:rPr>
              <w:t>报价</w:t>
            </w:r>
          </w:p>
          <w:p>
            <w:pPr>
              <w:contextualSpacing/>
              <w:jc w:val="center"/>
              <w:rPr>
                <w:rFonts w:ascii="宋体" w:hAnsi="宋体"/>
                <w:snapToGrid w:val="0"/>
                <w:kern w:val="0"/>
                <w:szCs w:val="21"/>
              </w:rPr>
            </w:pPr>
            <w:r>
              <w:rPr>
                <w:rFonts w:hint="eastAsia" w:ascii="宋体" w:hAnsi="宋体"/>
                <w:snapToGrid w:val="0"/>
                <w:kern w:val="0"/>
                <w:szCs w:val="21"/>
              </w:rPr>
              <w:t>(1</w:t>
            </w:r>
            <w:r>
              <w:rPr>
                <w:rFonts w:ascii="宋体" w:hAnsi="宋体"/>
                <w:snapToGrid w:val="0"/>
                <w:kern w:val="0"/>
                <w:szCs w:val="21"/>
              </w:rPr>
              <w:t>5</w:t>
            </w:r>
            <w:r>
              <w:rPr>
                <w:rFonts w:hint="eastAsia" w:ascii="宋体" w:hAnsi="宋体"/>
                <w:snapToGrid w:val="0"/>
                <w:kern w:val="0"/>
                <w:szCs w:val="21"/>
              </w:rPr>
              <w:t>分)</w:t>
            </w:r>
          </w:p>
        </w:tc>
        <w:tc>
          <w:tcPr>
            <w:tcW w:w="8364" w:type="dxa"/>
            <w:gridSpan w:val="3"/>
            <w:vAlign w:val="center"/>
          </w:tcPr>
          <w:p>
            <w:pPr>
              <w:adjustRightInd w:val="0"/>
              <w:contextualSpacing/>
              <w:rPr>
                <w:rFonts w:ascii="宋体" w:hAnsi="宋体"/>
                <w:szCs w:val="21"/>
              </w:rPr>
            </w:pPr>
            <w:r>
              <w:rPr>
                <w:rFonts w:hint="eastAsia" w:ascii="宋体" w:hAnsi="宋体"/>
                <w:szCs w:val="21"/>
              </w:rPr>
              <w:t>满足比选文件要求且响应价格最低的报价为评标基准价，其价格分为满分。其他供应商的价格分统一按照下列公式计算：</w:t>
            </w:r>
          </w:p>
          <w:p>
            <w:pPr>
              <w:adjustRightInd w:val="0"/>
              <w:contextualSpacing/>
              <w:rPr>
                <w:rFonts w:hint="eastAsia" w:ascii="宋体" w:hAnsi="宋体" w:eastAsia="宋体"/>
                <w:szCs w:val="21"/>
                <w:lang w:val="en-US" w:eastAsia="zh-CN"/>
              </w:rPr>
            </w:pPr>
            <w:r>
              <w:rPr>
                <w:rFonts w:hint="eastAsia" w:ascii="宋体" w:hAnsi="宋体"/>
                <w:szCs w:val="21"/>
              </w:rPr>
              <w:t>报价得分=（评标基准价/响应报价）×1</w:t>
            </w: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9426" w:type="dxa"/>
            <w:gridSpan w:val="4"/>
            <w:vAlign w:val="center"/>
          </w:tcPr>
          <w:p>
            <w:pPr>
              <w:adjustRightInd w:val="0"/>
              <w:contextualSpacing/>
              <w:rPr>
                <w:rFonts w:ascii="宋体" w:hAnsi="宋体"/>
                <w:szCs w:val="21"/>
              </w:rPr>
            </w:pPr>
            <w:r>
              <w:rPr>
                <w:rFonts w:hint="eastAsia" w:ascii="宋体" w:hAnsi="宋体"/>
                <w:b/>
                <w:bCs/>
                <w:szCs w:val="21"/>
              </w:rPr>
              <w:t>装订要求：应确保装订牢固、目录清楚、页码准确，不得采用活页式装订，建议双面打印。</w:t>
            </w:r>
          </w:p>
        </w:tc>
      </w:tr>
    </w:tbl>
    <w:p>
      <w:pPr>
        <w:spacing w:line="360" w:lineRule="auto"/>
        <w:rPr>
          <w:rFonts w:ascii="宋体" w:hAnsi="宋体"/>
          <w:b/>
          <w:bCs/>
          <w:sz w:val="24"/>
        </w:rPr>
      </w:pPr>
    </w:p>
    <w:p>
      <w:pPr>
        <w:pStyle w:val="6"/>
        <w:ind w:firstLine="0"/>
        <w:rPr>
          <w:rFonts w:hAnsi="宋体"/>
          <w:b/>
          <w:bCs/>
        </w:rPr>
      </w:pPr>
    </w:p>
    <w:p>
      <w:pPr>
        <w:pStyle w:val="6"/>
        <w:ind w:firstLine="0"/>
        <w:rPr>
          <w:rFonts w:hAnsi="宋体"/>
          <w:b/>
          <w:bCs/>
        </w:rPr>
      </w:pPr>
    </w:p>
    <w:p>
      <w:pPr>
        <w:spacing w:line="360" w:lineRule="auto"/>
        <w:jc w:val="center"/>
        <w:outlineLvl w:val="0"/>
        <w:rPr>
          <w:rFonts w:ascii="宋体" w:hAnsi="宋体"/>
          <w:b/>
          <w:sz w:val="36"/>
          <w:szCs w:val="36"/>
        </w:rPr>
      </w:pPr>
      <w:r>
        <w:rPr>
          <w:rFonts w:ascii="宋体" w:hAnsi="宋体"/>
          <w:b/>
          <w:sz w:val="36"/>
          <w:szCs w:val="36"/>
        </w:rPr>
        <w:br w:type="page"/>
      </w:r>
      <w:bookmarkStart w:id="664" w:name="_Toc26102"/>
      <w:bookmarkStart w:id="665" w:name="_Toc7625"/>
      <w:r>
        <w:rPr>
          <w:rFonts w:ascii="宋体" w:hAnsi="宋体"/>
          <w:b/>
          <w:sz w:val="36"/>
          <w:szCs w:val="36"/>
        </w:rPr>
        <w:t>第</w:t>
      </w:r>
      <w:r>
        <w:rPr>
          <w:rFonts w:hint="eastAsia" w:ascii="宋体" w:hAnsi="宋体"/>
          <w:b/>
          <w:sz w:val="36"/>
          <w:szCs w:val="36"/>
        </w:rPr>
        <w:t>四</w:t>
      </w:r>
      <w:r>
        <w:rPr>
          <w:rFonts w:ascii="宋体" w:hAnsi="宋体"/>
          <w:b/>
          <w:sz w:val="36"/>
          <w:szCs w:val="36"/>
        </w:rPr>
        <w:t>章  采购需求</w:t>
      </w:r>
      <w:bookmarkEnd w:id="664"/>
      <w:bookmarkEnd w:id="665"/>
    </w:p>
    <w:p>
      <w:pPr>
        <w:pStyle w:val="5"/>
        <w:rPr>
          <w:rFonts w:ascii="宋体" w:hAnsi="宋体" w:eastAsia="宋体"/>
          <w:sz w:val="28"/>
        </w:rPr>
      </w:pPr>
      <w:r>
        <w:rPr>
          <w:rFonts w:hint="eastAsia" w:ascii="宋体" w:hAnsi="宋体" w:eastAsia="宋体"/>
          <w:sz w:val="28"/>
        </w:rPr>
        <w:t>第一部分：项目一览表</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241"/>
        <w:gridCol w:w="2781"/>
        <w:gridCol w:w="222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02" w:type="pct"/>
            <w:vAlign w:val="center"/>
          </w:tcPr>
          <w:p>
            <w:pPr>
              <w:spacing w:line="360" w:lineRule="auto"/>
              <w:jc w:val="center"/>
              <w:rPr>
                <w:rFonts w:ascii="宋体" w:hAnsi="宋体"/>
                <w:b/>
                <w:bCs/>
                <w:sz w:val="18"/>
                <w:szCs w:val="18"/>
              </w:rPr>
            </w:pPr>
            <w:r>
              <w:rPr>
                <w:rFonts w:hint="eastAsia" w:ascii="宋体" w:hAnsi="宋体"/>
                <w:b/>
                <w:bCs/>
                <w:sz w:val="18"/>
                <w:szCs w:val="18"/>
              </w:rPr>
              <w:t>包号</w:t>
            </w:r>
          </w:p>
        </w:tc>
        <w:tc>
          <w:tcPr>
            <w:tcW w:w="668" w:type="pct"/>
            <w:vAlign w:val="center"/>
          </w:tcPr>
          <w:p>
            <w:pPr>
              <w:spacing w:line="360" w:lineRule="auto"/>
              <w:jc w:val="center"/>
              <w:rPr>
                <w:rFonts w:ascii="宋体" w:hAnsi="宋体"/>
                <w:b/>
                <w:bCs/>
                <w:sz w:val="18"/>
                <w:szCs w:val="18"/>
              </w:rPr>
            </w:pPr>
            <w:r>
              <w:rPr>
                <w:rFonts w:hint="eastAsia" w:ascii="宋体" w:hAnsi="宋体"/>
                <w:b/>
                <w:bCs/>
                <w:sz w:val="18"/>
                <w:szCs w:val="18"/>
              </w:rPr>
              <w:t>采购内容</w:t>
            </w:r>
          </w:p>
        </w:tc>
        <w:tc>
          <w:tcPr>
            <w:tcW w:w="1497" w:type="pct"/>
            <w:vAlign w:val="center"/>
          </w:tcPr>
          <w:p>
            <w:pPr>
              <w:spacing w:line="360" w:lineRule="auto"/>
              <w:jc w:val="center"/>
              <w:rPr>
                <w:rFonts w:ascii="宋体" w:hAnsi="宋体"/>
                <w:b/>
                <w:bCs/>
                <w:sz w:val="18"/>
                <w:szCs w:val="18"/>
              </w:rPr>
            </w:pPr>
            <w:r>
              <w:rPr>
                <w:rFonts w:hint="eastAsia" w:ascii="宋体" w:hAnsi="宋体"/>
                <w:b/>
                <w:bCs/>
                <w:sz w:val="18"/>
                <w:szCs w:val="18"/>
              </w:rPr>
              <w:t>数量</w:t>
            </w:r>
          </w:p>
        </w:tc>
        <w:tc>
          <w:tcPr>
            <w:tcW w:w="1198" w:type="pct"/>
            <w:vAlign w:val="center"/>
          </w:tcPr>
          <w:p>
            <w:pPr>
              <w:spacing w:line="360" w:lineRule="auto"/>
              <w:jc w:val="center"/>
              <w:rPr>
                <w:rFonts w:ascii="宋体" w:hAnsi="宋体"/>
                <w:b/>
                <w:bCs/>
                <w:sz w:val="18"/>
                <w:szCs w:val="18"/>
              </w:rPr>
            </w:pPr>
            <w:r>
              <w:rPr>
                <w:rFonts w:hint="eastAsia" w:ascii="宋体" w:hAnsi="宋体"/>
                <w:b/>
                <w:bCs/>
                <w:sz w:val="18"/>
                <w:szCs w:val="18"/>
              </w:rPr>
              <w:t>预算（万元）</w:t>
            </w:r>
          </w:p>
        </w:tc>
        <w:tc>
          <w:tcPr>
            <w:tcW w:w="1235" w:type="pct"/>
            <w:vAlign w:val="center"/>
          </w:tcPr>
          <w:p>
            <w:pPr>
              <w:spacing w:line="360" w:lineRule="auto"/>
              <w:jc w:val="center"/>
              <w:rPr>
                <w:rFonts w:ascii="宋体" w:hAnsi="宋体"/>
                <w:b/>
                <w:bCs/>
                <w:sz w:val="18"/>
                <w:szCs w:val="18"/>
              </w:rPr>
            </w:pPr>
            <w:r>
              <w:rPr>
                <w:rFonts w:hint="eastAsia" w:ascii="宋体" w:hAnsi="宋体"/>
                <w:b/>
                <w:bCs/>
                <w:sz w:val="18"/>
                <w:szCs w:val="18"/>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02" w:type="pct"/>
            <w:shd w:val="clear" w:color="000000" w:fill="FFFFFF"/>
            <w:vAlign w:val="center"/>
          </w:tcPr>
          <w:p>
            <w:pPr>
              <w:spacing w:line="360" w:lineRule="auto"/>
              <w:jc w:val="center"/>
              <w:rPr>
                <w:rFonts w:ascii="宋体" w:hAnsi="宋体"/>
                <w:sz w:val="18"/>
                <w:szCs w:val="18"/>
              </w:rPr>
            </w:pPr>
            <w:r>
              <w:rPr>
                <w:rFonts w:hint="eastAsia" w:ascii="宋体" w:hAnsi="宋体"/>
                <w:sz w:val="18"/>
                <w:szCs w:val="18"/>
              </w:rPr>
              <w:t>1</w:t>
            </w:r>
          </w:p>
        </w:tc>
        <w:tc>
          <w:tcPr>
            <w:tcW w:w="668" w:type="pct"/>
            <w:shd w:val="clear" w:color="000000" w:fill="FFFFFF"/>
            <w:vAlign w:val="center"/>
          </w:tcPr>
          <w:p>
            <w:pPr>
              <w:spacing w:line="360" w:lineRule="auto"/>
              <w:jc w:val="center"/>
              <w:rPr>
                <w:rFonts w:ascii="宋体" w:hAnsi="宋体"/>
                <w:sz w:val="18"/>
                <w:szCs w:val="18"/>
              </w:rPr>
            </w:pPr>
            <w:r>
              <w:rPr>
                <w:rFonts w:hint="eastAsia" w:ascii="宋体" w:hAnsi="宋体"/>
                <w:sz w:val="18"/>
                <w:szCs w:val="18"/>
              </w:rPr>
              <w:t>灭火器检修及消防器材购置</w:t>
            </w:r>
          </w:p>
        </w:tc>
        <w:tc>
          <w:tcPr>
            <w:tcW w:w="1497" w:type="pct"/>
            <w:shd w:val="clear" w:color="000000" w:fill="FFFFFF"/>
            <w:vAlign w:val="center"/>
          </w:tcPr>
          <w:p>
            <w:pPr>
              <w:spacing w:line="360" w:lineRule="auto"/>
              <w:jc w:val="center"/>
              <w:rPr>
                <w:rFonts w:ascii="宋体" w:hAnsi="宋体"/>
                <w:sz w:val="18"/>
                <w:szCs w:val="18"/>
              </w:rPr>
            </w:pPr>
            <w:r>
              <w:rPr>
                <w:rFonts w:hint="eastAsia" w:ascii="宋体" w:hAnsi="宋体"/>
                <w:sz w:val="18"/>
                <w:szCs w:val="18"/>
              </w:rPr>
              <w:t>以第二部分采购需求清单为准</w:t>
            </w:r>
          </w:p>
        </w:tc>
        <w:tc>
          <w:tcPr>
            <w:tcW w:w="1198" w:type="pct"/>
            <w:shd w:val="clear" w:color="000000" w:fill="FFFFFF"/>
            <w:vAlign w:val="center"/>
          </w:tcPr>
          <w:p>
            <w:pPr>
              <w:spacing w:line="300" w:lineRule="auto"/>
              <w:jc w:val="center"/>
              <w:rPr>
                <w:rFonts w:ascii="宋体" w:hAnsi="宋体"/>
                <w:sz w:val="18"/>
                <w:szCs w:val="18"/>
              </w:rPr>
            </w:pPr>
            <w:r>
              <w:rPr>
                <w:rFonts w:hint="eastAsia" w:ascii="宋体" w:hAnsi="宋体"/>
                <w:sz w:val="18"/>
                <w:szCs w:val="18"/>
              </w:rPr>
              <w:t>90</w:t>
            </w:r>
          </w:p>
        </w:tc>
        <w:tc>
          <w:tcPr>
            <w:tcW w:w="1235" w:type="pct"/>
            <w:shd w:val="clear" w:color="000000" w:fill="FFFFFF"/>
            <w:vAlign w:val="center"/>
          </w:tcPr>
          <w:p>
            <w:pPr>
              <w:spacing w:line="300" w:lineRule="auto"/>
              <w:jc w:val="center"/>
              <w:rPr>
                <w:rFonts w:ascii="宋体" w:hAnsi="宋体"/>
                <w:sz w:val="18"/>
                <w:szCs w:val="18"/>
              </w:rPr>
            </w:pPr>
            <w:r>
              <w:rPr>
                <w:rFonts w:hint="eastAsia" w:ascii="宋体" w:hAnsi="宋体"/>
                <w:sz w:val="18"/>
                <w:szCs w:val="18"/>
              </w:rPr>
              <w:t>1年</w:t>
            </w:r>
          </w:p>
        </w:tc>
      </w:tr>
    </w:tbl>
    <w:p/>
    <w:p>
      <w:pPr>
        <w:spacing w:line="360" w:lineRule="auto"/>
        <w:jc w:val="left"/>
        <w:rPr>
          <w:rFonts w:ascii="宋体" w:hAnsi="宋体"/>
          <w:b/>
          <w:szCs w:val="21"/>
        </w:rPr>
      </w:pPr>
      <w:r>
        <w:rPr>
          <w:rFonts w:hint="eastAsia" w:ascii="宋体" w:hAnsi="宋体"/>
          <w:b/>
          <w:szCs w:val="21"/>
        </w:rPr>
        <w:t>注：1、“</w:t>
      </w:r>
      <w:r>
        <w:rPr>
          <w:rFonts w:hint="eastAsia" w:ascii="宋体" w:hAnsi="宋体" w:cs="等线"/>
          <w:b/>
          <w:bCs/>
          <w:kern w:val="0"/>
          <w:szCs w:val="21"/>
        </w:rPr>
        <w:t>★</w:t>
      </w:r>
      <w:r>
        <w:rPr>
          <w:rFonts w:hint="eastAsia" w:ascii="宋体" w:hAnsi="宋体"/>
          <w:b/>
          <w:szCs w:val="21"/>
        </w:rPr>
        <w:t>”（如有）为实质性条款，不满足的将被视为无效响应予以拒绝。</w:t>
      </w:r>
    </w:p>
    <w:p>
      <w:pPr>
        <w:spacing w:line="360" w:lineRule="auto"/>
        <w:jc w:val="left"/>
        <w:rPr>
          <w:rFonts w:ascii="宋体" w:hAnsi="宋体"/>
          <w:b/>
          <w:szCs w:val="21"/>
        </w:rPr>
      </w:pPr>
      <w:r>
        <w:rPr>
          <w:rFonts w:hint="eastAsia" w:ascii="宋体" w:hAnsi="宋体"/>
          <w:b/>
          <w:szCs w:val="21"/>
        </w:rPr>
        <w:t>2、技术参数中所涉品牌、型号、专用技术等为描述所需，不具备强制性，要求所投产品至少满足该配置档次要求，并须确保整体系统兼容性。</w:t>
      </w:r>
    </w:p>
    <w:p>
      <w:pPr>
        <w:spacing w:line="360" w:lineRule="auto"/>
        <w:contextualSpacing/>
        <w:rPr>
          <w:sz w:val="24"/>
        </w:rPr>
      </w:pPr>
    </w:p>
    <w:p>
      <w:pPr>
        <w:spacing w:line="440" w:lineRule="exact"/>
        <w:rPr>
          <w:b/>
        </w:rPr>
      </w:pPr>
    </w:p>
    <w:p>
      <w:pPr>
        <w:autoSpaceDE w:val="0"/>
        <w:autoSpaceDN w:val="0"/>
        <w:rPr>
          <w:bCs/>
        </w:rPr>
      </w:pPr>
    </w:p>
    <w:p>
      <w:pPr>
        <w:rPr>
          <w:rFonts w:ascii="宋体" w:hAnsi="宋体"/>
        </w:rPr>
      </w:pPr>
      <w:r>
        <w:rPr>
          <w:rFonts w:hint="eastAsia" w:ascii="宋体" w:hAnsi="宋体"/>
        </w:rPr>
        <w:br w:type="page"/>
      </w:r>
    </w:p>
    <w:p>
      <w:pPr>
        <w:pStyle w:val="5"/>
        <w:rPr>
          <w:rFonts w:ascii="宋体" w:hAnsi="宋体" w:eastAsia="宋体"/>
        </w:rPr>
      </w:pPr>
      <w:r>
        <w:rPr>
          <w:rFonts w:hint="eastAsia" w:ascii="宋体" w:hAnsi="宋体" w:eastAsia="宋体"/>
        </w:rPr>
        <w:t>第二部分：服务需求</w:t>
      </w:r>
    </w:p>
    <w:p>
      <w:pPr>
        <w:spacing w:line="480" w:lineRule="exact"/>
        <w:ind w:left="56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一、采购需求清单</w:t>
      </w:r>
    </w:p>
    <w:tbl>
      <w:tblPr>
        <w:tblStyle w:val="40"/>
        <w:tblpPr w:leftFromText="180" w:rightFromText="180" w:vertAnchor="text" w:horzAnchor="page" w:tblpX="999" w:tblpY="404"/>
        <w:tblOverlap w:val="never"/>
        <w:tblW w:w="101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971"/>
        <w:gridCol w:w="690"/>
        <w:gridCol w:w="760"/>
        <w:gridCol w:w="598"/>
        <w:gridCol w:w="593"/>
        <w:gridCol w:w="59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Cs w:val="20"/>
              </w:rPr>
            </w:pPr>
            <w:r>
              <w:rPr>
                <w:rFonts w:hint="eastAsia" w:ascii="宋体" w:hAnsi="宋体" w:cs="宋体"/>
                <w:szCs w:val="20"/>
              </w:rPr>
              <w:t>序号</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Cs w:val="20"/>
              </w:rPr>
            </w:pPr>
            <w:r>
              <w:rPr>
                <w:rFonts w:hint="eastAsia" w:ascii="宋体" w:hAnsi="宋体" w:cs="宋体"/>
                <w:szCs w:val="20"/>
              </w:rPr>
              <w:t>采购内容</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Cs w:val="20"/>
              </w:rPr>
            </w:pPr>
            <w:r>
              <w:rPr>
                <w:rFonts w:hint="eastAsia" w:ascii="宋体" w:hAnsi="宋体" w:cs="宋体"/>
                <w:szCs w:val="20"/>
              </w:rPr>
              <w:t>规格型号</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kern w:val="0"/>
                <w:sz w:val="20"/>
                <w:szCs w:val="20"/>
              </w:rPr>
            </w:pPr>
            <w:r>
              <w:rPr>
                <w:rFonts w:hint="eastAsia" w:ascii="宋体" w:hAnsi="宋体" w:cs="宋体"/>
                <w:sz w:val="20"/>
                <w:szCs w:val="20"/>
              </w:rPr>
              <w:t>参考单价（元）</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Cs w:val="20"/>
              </w:rPr>
            </w:pPr>
            <w:r>
              <w:rPr>
                <w:rFonts w:hint="eastAsia" w:ascii="宋体" w:hAnsi="宋体" w:cs="宋体"/>
                <w:szCs w:val="20"/>
              </w:rPr>
              <w:t>单位</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Cs w:val="20"/>
              </w:rPr>
            </w:pPr>
            <w:r>
              <w:rPr>
                <w:rFonts w:hint="eastAsia" w:ascii="宋体" w:hAnsi="宋体" w:cs="宋体"/>
                <w:szCs w:val="20"/>
              </w:rPr>
              <w:t>数量</w:t>
            </w:r>
          </w:p>
        </w:tc>
        <w:tc>
          <w:tcPr>
            <w:tcW w:w="5939"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spacing w:line="360" w:lineRule="auto"/>
              <w:jc w:val="center"/>
              <w:rPr>
                <w:rFonts w:ascii="宋体" w:hAnsi="宋体" w:cs="宋体"/>
                <w:sz w:val="24"/>
              </w:rPr>
            </w:pPr>
            <w:r>
              <w:rPr>
                <w:rFonts w:hint="eastAsia" w:ascii="宋体" w:hAnsi="宋体" w:cs="宋体"/>
                <w:sz w:val="24"/>
              </w:rPr>
              <w:t>技术参数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1</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检修ABC灭火器</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1kg</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13</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具</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54</w:t>
            </w:r>
          </w:p>
        </w:tc>
        <w:tc>
          <w:tcPr>
            <w:tcW w:w="5939" w:type="dxa"/>
            <w:vMerge w:val="restart"/>
            <w:tcBorders>
              <w:top w:val="single" w:color="000000" w:sz="2" w:space="0"/>
              <w:left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执行《灭火器维修 GA95-2015》标准和GB55036-2023《消防设施通用规范》。</w:t>
            </w:r>
          </w:p>
          <w:p>
            <w:pPr>
              <w:jc w:val="left"/>
              <w:rPr>
                <w:rFonts w:ascii="宋体" w:hAnsi="宋体" w:cs="宋体"/>
                <w:sz w:val="24"/>
              </w:rPr>
            </w:pPr>
          </w:p>
          <w:p>
            <w:pPr>
              <w:rPr>
                <w:rFonts w:ascii="宋体" w:hAnsi="宋体" w:cs="宋体"/>
                <w:kern w:val="0"/>
                <w:sz w:val="24"/>
                <w:szCs w:val="24"/>
                <w:lang w:val="zh-CN"/>
              </w:rPr>
            </w:pPr>
            <w:r>
              <w:rPr>
                <w:rFonts w:hint="eastAsia" w:ascii="宋体" w:hAnsi="宋体" w:cs="宋体"/>
                <w:kern w:val="0"/>
                <w:sz w:val="24"/>
                <w:szCs w:val="24"/>
                <w:lang w:val="zh-CN"/>
              </w:rPr>
              <w:t>1.认真检查灭火器外观特别是底部是否有腐蚀、漏气及损坏严重等现象，对确认属于报废范围的灭火器，须报学校进行报废处理。</w:t>
            </w:r>
          </w:p>
          <w:p>
            <w:pPr>
              <w:rPr>
                <w:rFonts w:ascii="宋体" w:hAnsi="宋体" w:cs="宋体"/>
                <w:kern w:val="0"/>
                <w:sz w:val="24"/>
                <w:szCs w:val="24"/>
                <w:lang w:val="zh-CN"/>
              </w:rPr>
            </w:pPr>
            <w:r>
              <w:rPr>
                <w:rFonts w:hint="eastAsia" w:ascii="宋体" w:hAnsi="宋体" w:cs="宋体"/>
                <w:kern w:val="0"/>
                <w:sz w:val="24"/>
                <w:szCs w:val="24"/>
                <w:lang w:val="zh-CN"/>
              </w:rPr>
              <w:t>2.对确认不属于报废范围的灭火器筒体、贮气瓶、器头和推车式灭火器的喷射软管组件逐个进行水压试验，合格后方可使用。</w:t>
            </w:r>
          </w:p>
          <w:p>
            <w:pPr>
              <w:rPr>
                <w:rFonts w:ascii="宋体" w:hAnsi="宋体" w:cs="宋体"/>
                <w:kern w:val="0"/>
                <w:sz w:val="24"/>
                <w:szCs w:val="24"/>
                <w:lang w:val="zh-CN"/>
              </w:rPr>
            </w:pPr>
            <w:r>
              <w:rPr>
                <w:rFonts w:hint="eastAsia" w:ascii="宋体" w:hAnsi="宋体" w:cs="宋体"/>
                <w:kern w:val="0"/>
                <w:sz w:val="24"/>
                <w:szCs w:val="24"/>
                <w:lang w:val="zh-CN"/>
              </w:rPr>
              <w:t>3.认真检查灭火器的内部压力，只有在确认灭火器内部无压力时，方可拆卸。</w:t>
            </w:r>
          </w:p>
          <w:p>
            <w:pPr>
              <w:rPr>
                <w:rFonts w:ascii="宋体" w:hAnsi="宋体" w:cs="宋体"/>
                <w:kern w:val="0"/>
                <w:sz w:val="24"/>
                <w:szCs w:val="24"/>
                <w:lang w:val="zh-CN"/>
              </w:rPr>
            </w:pPr>
            <w:r>
              <w:rPr>
                <w:rFonts w:hint="eastAsia" w:ascii="宋体" w:hAnsi="宋体" w:cs="宋体"/>
                <w:kern w:val="0"/>
                <w:sz w:val="24"/>
                <w:szCs w:val="24"/>
                <w:lang w:val="zh-CN"/>
              </w:rPr>
              <w:t>4.逐具检查灭火器瓶</w:t>
            </w:r>
            <w:r>
              <w:rPr>
                <w:rFonts w:hint="eastAsia" w:ascii="宋体" w:hAnsi="宋体" w:cs="宋体"/>
                <w:kern w:val="0"/>
                <w:sz w:val="24"/>
                <w:szCs w:val="24"/>
              </w:rPr>
              <w:t>灭火剂</w:t>
            </w:r>
            <w:r>
              <w:rPr>
                <w:rFonts w:hint="eastAsia" w:ascii="宋体" w:hAnsi="宋体" w:cs="宋体"/>
                <w:kern w:val="0"/>
                <w:sz w:val="24"/>
                <w:szCs w:val="24"/>
                <w:lang w:val="zh-CN"/>
              </w:rPr>
              <w:t>，若有任何可见结块、杂质、不能自由流动或其他疑问的，必须更换，并须符合以下要求：</w:t>
            </w:r>
          </w:p>
          <w:p>
            <w:pPr>
              <w:rPr>
                <w:rFonts w:ascii="宋体" w:hAnsi="宋体" w:cs="宋体"/>
                <w:kern w:val="0"/>
                <w:sz w:val="24"/>
                <w:szCs w:val="24"/>
                <w:lang w:val="zh-CN"/>
              </w:rPr>
            </w:pPr>
            <w:r>
              <w:rPr>
                <w:rFonts w:hint="eastAsia" w:ascii="宋体" w:hAnsi="宋体" w:cs="宋体"/>
                <w:kern w:val="0"/>
                <w:sz w:val="24"/>
                <w:szCs w:val="24"/>
                <w:lang w:val="zh-CN"/>
              </w:rPr>
              <w:t>（1）送修灭火器中剩余的灭火剂不得回收再次使用。</w:t>
            </w:r>
          </w:p>
          <w:p>
            <w:pPr>
              <w:rPr>
                <w:rFonts w:ascii="宋体" w:hAnsi="宋体" w:cs="宋体"/>
                <w:kern w:val="0"/>
                <w:sz w:val="24"/>
                <w:szCs w:val="24"/>
                <w:lang w:val="zh-CN"/>
              </w:rPr>
            </w:pPr>
            <w:r>
              <w:rPr>
                <w:rFonts w:hint="eastAsia" w:ascii="宋体" w:hAnsi="宋体" w:cs="宋体"/>
                <w:kern w:val="0"/>
                <w:sz w:val="24"/>
                <w:szCs w:val="24"/>
                <w:lang w:val="zh-CN"/>
              </w:rPr>
              <w:t>（2）在进行再充装时，应按制造商的要求进行操作。</w:t>
            </w:r>
          </w:p>
          <w:p>
            <w:pPr>
              <w:rPr>
                <w:rFonts w:ascii="宋体" w:hAnsi="宋体" w:cs="宋体"/>
                <w:kern w:val="0"/>
                <w:sz w:val="24"/>
                <w:szCs w:val="24"/>
                <w:lang w:val="zh-CN"/>
              </w:rPr>
            </w:pPr>
            <w:r>
              <w:rPr>
                <w:rFonts w:hint="eastAsia" w:ascii="宋体" w:hAnsi="宋体" w:cs="宋体"/>
                <w:kern w:val="0"/>
                <w:sz w:val="24"/>
                <w:szCs w:val="24"/>
                <w:lang w:val="zh-CN"/>
              </w:rPr>
              <w:t>（3）再充装所更换的灭火剂应采用原灭火器生产企业提供或推荐的相同型号、规格的产品，并须符合国家有关灭火剂的标准要求。</w:t>
            </w:r>
          </w:p>
          <w:p>
            <w:pPr>
              <w:rPr>
                <w:rFonts w:ascii="宋体" w:hAnsi="宋体" w:cs="宋体"/>
                <w:kern w:val="0"/>
                <w:sz w:val="24"/>
                <w:szCs w:val="24"/>
                <w:lang w:val="zh-CN"/>
              </w:rPr>
            </w:pPr>
            <w:r>
              <w:rPr>
                <w:rFonts w:hint="eastAsia" w:ascii="宋体" w:hAnsi="宋体" w:cs="宋体"/>
                <w:kern w:val="0"/>
                <w:sz w:val="24"/>
                <w:szCs w:val="24"/>
                <w:lang w:val="zh-CN"/>
              </w:rPr>
              <w:t>5.对灭火器筒体进行清洗，并应将筒体干燥后使用。</w:t>
            </w:r>
          </w:p>
          <w:p>
            <w:pPr>
              <w:rPr>
                <w:rFonts w:ascii="宋体" w:hAnsi="宋体" w:cs="宋体"/>
                <w:kern w:val="0"/>
                <w:sz w:val="24"/>
                <w:szCs w:val="24"/>
                <w:lang w:val="zh-CN"/>
              </w:rPr>
            </w:pPr>
            <w:r>
              <w:rPr>
                <w:rFonts w:hint="eastAsia" w:ascii="宋体" w:hAnsi="宋体" w:cs="宋体"/>
                <w:kern w:val="0"/>
                <w:sz w:val="24"/>
                <w:szCs w:val="24"/>
                <w:lang w:val="zh-CN"/>
              </w:rPr>
              <w:t>6.检查灭火器配件，更换密封件和已损的部件。</w:t>
            </w:r>
          </w:p>
          <w:p>
            <w:pPr>
              <w:rPr>
                <w:rFonts w:ascii="宋体" w:hAnsi="宋体" w:cs="宋体"/>
                <w:kern w:val="0"/>
                <w:sz w:val="24"/>
                <w:szCs w:val="24"/>
                <w:lang w:val="zh-CN"/>
              </w:rPr>
            </w:pPr>
            <w:r>
              <w:rPr>
                <w:rFonts w:hint="eastAsia" w:ascii="宋体" w:hAnsi="宋体" w:cs="宋体"/>
                <w:kern w:val="0"/>
                <w:sz w:val="24"/>
                <w:szCs w:val="24"/>
                <w:lang w:val="zh-CN"/>
              </w:rPr>
              <w:t>7.按灭火器相应标准和铭牌的规定进行灭火剂及驱动气体再充装，并逐具进行气密性试验。</w:t>
            </w:r>
          </w:p>
          <w:p>
            <w:pPr>
              <w:rPr>
                <w:rFonts w:ascii="宋体" w:hAnsi="宋体" w:cs="宋体"/>
                <w:kern w:val="0"/>
                <w:sz w:val="24"/>
                <w:szCs w:val="24"/>
                <w:lang w:val="zh-CN"/>
              </w:rPr>
            </w:pPr>
            <w:r>
              <w:rPr>
                <w:rFonts w:hint="eastAsia" w:ascii="宋体" w:hAnsi="宋体" w:cs="宋体"/>
                <w:kern w:val="0"/>
                <w:sz w:val="24"/>
                <w:szCs w:val="24"/>
                <w:lang w:val="zh-CN"/>
              </w:rPr>
              <w:t>8.依据规范要求，对灭火器设置点的位置和数量逐步进行完善，并应保证最不利点保护范围内灭火器的设置。</w:t>
            </w:r>
          </w:p>
          <w:p>
            <w:pPr>
              <w:rPr>
                <w:rFonts w:ascii="宋体" w:hAnsi="宋体" w:cs="宋体"/>
                <w:kern w:val="0"/>
                <w:sz w:val="24"/>
                <w:szCs w:val="24"/>
              </w:rPr>
            </w:pPr>
            <w:bookmarkStart w:id="666" w:name="_Hlk5272352"/>
            <w:r>
              <w:rPr>
                <w:rFonts w:hint="eastAsia" w:ascii="宋体" w:hAnsi="宋体" w:cs="宋体"/>
                <w:kern w:val="0"/>
                <w:sz w:val="24"/>
                <w:szCs w:val="24"/>
              </w:rPr>
              <w:t>其他服务要求：</w:t>
            </w:r>
          </w:p>
          <w:p>
            <w:pPr>
              <w:rPr>
                <w:rFonts w:ascii="宋体" w:hAnsi="宋体" w:cs="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lang w:val="zh-CN"/>
              </w:rPr>
              <w:t>1</w:t>
            </w:r>
            <w:bookmarkEnd w:id="666"/>
            <w:r>
              <w:rPr>
                <w:rFonts w:hint="eastAsia" w:ascii="宋体" w:hAnsi="宋体" w:cs="宋体"/>
                <w:kern w:val="0"/>
                <w:sz w:val="24"/>
                <w:szCs w:val="24"/>
              </w:rPr>
              <w:t>.</w:t>
            </w:r>
            <w:r>
              <w:rPr>
                <w:rFonts w:ascii="宋体" w:hAnsi="宋体" w:cs="宋体"/>
                <w:kern w:val="0"/>
                <w:sz w:val="24"/>
                <w:szCs w:val="24"/>
                <w:lang w:val="zh-CN"/>
              </w:rPr>
              <w:t>维修公司负责灭火器</w:t>
            </w:r>
            <w:r>
              <w:rPr>
                <w:rFonts w:hint="eastAsia" w:ascii="宋体" w:hAnsi="宋体" w:cs="宋体"/>
                <w:kern w:val="0"/>
                <w:sz w:val="24"/>
                <w:szCs w:val="24"/>
                <w:lang w:val="zh-CN"/>
              </w:rPr>
              <w:t>的</w:t>
            </w:r>
            <w:r>
              <w:rPr>
                <w:rFonts w:ascii="宋体" w:hAnsi="宋体" w:cs="宋体"/>
                <w:kern w:val="0"/>
                <w:sz w:val="24"/>
                <w:szCs w:val="24"/>
                <w:lang w:val="zh-CN"/>
              </w:rPr>
              <w:t>收集</w:t>
            </w:r>
            <w:r>
              <w:rPr>
                <w:rFonts w:hint="eastAsia" w:ascii="宋体" w:hAnsi="宋体" w:cs="宋体"/>
                <w:kern w:val="0"/>
                <w:sz w:val="24"/>
                <w:szCs w:val="24"/>
                <w:lang w:val="zh-CN"/>
              </w:rPr>
              <w:t>、</w:t>
            </w:r>
            <w:r>
              <w:rPr>
                <w:rFonts w:ascii="宋体" w:hAnsi="宋体" w:cs="宋体"/>
                <w:kern w:val="0"/>
                <w:sz w:val="24"/>
                <w:szCs w:val="24"/>
                <w:lang w:val="zh-CN"/>
              </w:rPr>
              <w:t>检修</w:t>
            </w:r>
            <w:r>
              <w:rPr>
                <w:rFonts w:hint="eastAsia" w:ascii="宋体" w:hAnsi="宋体" w:cs="宋体"/>
                <w:kern w:val="0"/>
                <w:sz w:val="24"/>
                <w:szCs w:val="24"/>
                <w:lang w:val="zh-CN"/>
              </w:rPr>
              <w:t>、</w:t>
            </w:r>
            <w:r>
              <w:rPr>
                <w:rFonts w:ascii="宋体" w:hAnsi="宋体" w:cs="宋体"/>
                <w:kern w:val="0"/>
                <w:sz w:val="24"/>
                <w:szCs w:val="24"/>
                <w:lang w:val="zh-CN"/>
              </w:rPr>
              <w:t>运送</w:t>
            </w:r>
            <w:r>
              <w:rPr>
                <w:rFonts w:hint="eastAsia" w:ascii="宋体" w:hAnsi="宋体" w:cs="宋体"/>
                <w:kern w:val="0"/>
                <w:sz w:val="24"/>
                <w:szCs w:val="24"/>
                <w:lang w:val="zh-CN"/>
              </w:rPr>
              <w:t>及</w:t>
            </w:r>
            <w:r>
              <w:rPr>
                <w:rFonts w:ascii="宋体" w:hAnsi="宋体" w:cs="宋体"/>
                <w:kern w:val="0"/>
                <w:sz w:val="24"/>
                <w:szCs w:val="24"/>
                <w:lang w:val="zh-CN"/>
              </w:rPr>
              <w:t>配置到位等工作</w:t>
            </w:r>
            <w:r>
              <w:rPr>
                <w:rFonts w:hint="eastAsia" w:ascii="宋体" w:hAnsi="宋体" w:cs="宋体"/>
                <w:kern w:val="0"/>
                <w:sz w:val="24"/>
                <w:szCs w:val="24"/>
                <w:lang w:val="zh-CN"/>
              </w:rPr>
              <w:t>，</w:t>
            </w:r>
            <w:r>
              <w:rPr>
                <w:rFonts w:ascii="宋体" w:hAnsi="宋体" w:cs="宋体"/>
                <w:kern w:val="0"/>
                <w:sz w:val="24"/>
                <w:szCs w:val="24"/>
                <w:lang w:val="zh-CN"/>
              </w:rPr>
              <w:t>并</w:t>
            </w:r>
            <w:r>
              <w:rPr>
                <w:rFonts w:hint="eastAsia" w:ascii="宋体" w:hAnsi="宋体" w:cs="宋体"/>
                <w:kern w:val="0"/>
                <w:sz w:val="24"/>
                <w:szCs w:val="24"/>
                <w:lang w:val="zh-CN"/>
              </w:rPr>
              <w:t>按照采购人</w:t>
            </w:r>
            <w:r>
              <w:rPr>
                <w:rFonts w:ascii="宋体" w:hAnsi="宋体" w:cs="宋体"/>
                <w:kern w:val="0"/>
                <w:sz w:val="24"/>
                <w:szCs w:val="24"/>
                <w:lang w:val="zh-CN"/>
              </w:rPr>
              <w:t>需求向</w:t>
            </w:r>
            <w:r>
              <w:rPr>
                <w:rFonts w:hint="eastAsia" w:ascii="宋体" w:hAnsi="宋体" w:cs="宋体"/>
                <w:kern w:val="0"/>
                <w:sz w:val="24"/>
                <w:szCs w:val="24"/>
                <w:lang w:val="zh-CN"/>
              </w:rPr>
              <w:t>采购人</w:t>
            </w:r>
            <w:r>
              <w:rPr>
                <w:rFonts w:ascii="宋体" w:hAnsi="宋体" w:cs="宋体"/>
                <w:kern w:val="0"/>
                <w:sz w:val="24"/>
                <w:szCs w:val="24"/>
                <w:lang w:val="zh-CN"/>
              </w:rPr>
              <w:t>报送灭火器维修档案材料</w:t>
            </w:r>
            <w:r>
              <w:rPr>
                <w:rFonts w:hint="eastAsia" w:ascii="宋体" w:hAnsi="宋体" w:cs="宋体"/>
                <w:kern w:val="0"/>
                <w:sz w:val="24"/>
                <w:szCs w:val="24"/>
                <w:lang w:val="zh-CN"/>
              </w:rPr>
              <w:t>。</w:t>
            </w:r>
          </w:p>
          <w:p>
            <w:pPr>
              <w:jc w:val="left"/>
              <w:rPr>
                <w:rFonts w:ascii="宋体" w:hAnsi="宋体" w:cs="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lang w:val="zh-CN"/>
              </w:rPr>
              <w:t>2</w:t>
            </w:r>
            <w:r>
              <w:rPr>
                <w:rFonts w:hint="eastAsia" w:ascii="宋体" w:hAnsi="宋体" w:cs="宋体"/>
                <w:kern w:val="0"/>
                <w:sz w:val="24"/>
                <w:szCs w:val="24"/>
              </w:rPr>
              <w:t>.</w:t>
            </w:r>
            <w:r>
              <w:rPr>
                <w:rFonts w:hint="eastAsia" w:ascii="宋体" w:hAnsi="宋体" w:cs="宋体"/>
                <w:kern w:val="0"/>
                <w:sz w:val="24"/>
                <w:szCs w:val="24"/>
                <w:lang w:val="zh-CN"/>
              </w:rPr>
              <w:t>如发生</w:t>
            </w:r>
            <w:r>
              <w:rPr>
                <w:rFonts w:ascii="宋体" w:hAnsi="宋体" w:cs="宋体"/>
                <w:kern w:val="0"/>
                <w:sz w:val="24"/>
                <w:szCs w:val="24"/>
                <w:lang w:val="zh-CN"/>
              </w:rPr>
              <w:t>漏检情况，</w:t>
            </w:r>
            <w:r>
              <w:rPr>
                <w:rFonts w:hint="eastAsia" w:ascii="宋体" w:hAnsi="宋体" w:cs="宋体"/>
                <w:kern w:val="0"/>
                <w:sz w:val="24"/>
                <w:szCs w:val="24"/>
                <w:lang w:val="zh-CN"/>
              </w:rPr>
              <w:t>维修公司</w:t>
            </w:r>
            <w:r>
              <w:rPr>
                <w:rFonts w:ascii="宋体" w:hAnsi="宋体" w:cs="宋体"/>
                <w:kern w:val="0"/>
                <w:sz w:val="24"/>
                <w:szCs w:val="24"/>
                <w:lang w:val="zh-CN"/>
              </w:rPr>
              <w:t>无条件</w:t>
            </w:r>
            <w:r>
              <w:rPr>
                <w:rFonts w:hint="eastAsia" w:ascii="宋体" w:hAnsi="宋体" w:cs="宋体"/>
                <w:kern w:val="0"/>
                <w:sz w:val="24"/>
                <w:szCs w:val="24"/>
                <w:lang w:val="zh-CN"/>
              </w:rPr>
              <w:t>免费</w:t>
            </w:r>
            <w:r>
              <w:rPr>
                <w:rFonts w:ascii="宋体" w:hAnsi="宋体" w:cs="宋体"/>
                <w:kern w:val="0"/>
                <w:sz w:val="24"/>
                <w:szCs w:val="24"/>
                <w:lang w:val="zh-CN"/>
              </w:rPr>
              <w:t>对</w:t>
            </w:r>
            <w:r>
              <w:rPr>
                <w:rFonts w:hint="eastAsia" w:ascii="宋体" w:hAnsi="宋体" w:cs="宋体"/>
                <w:kern w:val="0"/>
                <w:sz w:val="24"/>
                <w:szCs w:val="24"/>
                <w:lang w:val="zh-CN"/>
              </w:rPr>
              <w:t>发现</w:t>
            </w:r>
            <w:r>
              <w:rPr>
                <w:rFonts w:ascii="宋体" w:hAnsi="宋体" w:cs="宋体"/>
                <w:kern w:val="0"/>
                <w:sz w:val="24"/>
                <w:szCs w:val="24"/>
                <w:lang w:val="zh-CN"/>
              </w:rPr>
              <w:t>的漏检灭火器</w:t>
            </w:r>
            <w:r>
              <w:rPr>
                <w:rFonts w:hint="eastAsia" w:ascii="宋体" w:hAnsi="宋体" w:cs="宋体"/>
                <w:kern w:val="0"/>
                <w:sz w:val="24"/>
                <w:szCs w:val="24"/>
                <w:lang w:val="zh-CN"/>
              </w:rPr>
              <w:t>随时</w:t>
            </w:r>
            <w:r>
              <w:rPr>
                <w:rFonts w:ascii="宋体" w:hAnsi="宋体" w:cs="宋体"/>
                <w:kern w:val="0"/>
                <w:sz w:val="24"/>
                <w:szCs w:val="24"/>
                <w:lang w:val="zh-CN"/>
              </w:rPr>
              <w:t>进行收集、检修、运送及配置到位</w:t>
            </w:r>
            <w:r>
              <w:rPr>
                <w:rFonts w:hint="eastAsia" w:ascii="宋体" w:hAnsi="宋体" w:cs="宋体"/>
                <w:kern w:val="0"/>
                <w:sz w:val="24"/>
                <w:szCs w:val="24"/>
                <w:lang w:val="zh-CN"/>
              </w:rPr>
              <w:t>。</w:t>
            </w:r>
          </w:p>
          <w:p>
            <w:pPr>
              <w:jc w:val="cente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2</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检修ABC灭火器</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2kg</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18</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具</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76</w:t>
            </w:r>
          </w:p>
        </w:tc>
        <w:tc>
          <w:tcPr>
            <w:tcW w:w="5939" w:type="dxa"/>
            <w:vMerge w:val="continue"/>
            <w:tcBorders>
              <w:left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3</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检修ABC灭火器</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3kg</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22</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具</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740</w:t>
            </w:r>
          </w:p>
        </w:tc>
        <w:tc>
          <w:tcPr>
            <w:tcW w:w="5939" w:type="dxa"/>
            <w:vMerge w:val="continue"/>
            <w:tcBorders>
              <w:left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1"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4</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检修ABC灭火器</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4kg</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28</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具</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673</w:t>
            </w:r>
          </w:p>
        </w:tc>
        <w:tc>
          <w:tcPr>
            <w:tcW w:w="5939" w:type="dxa"/>
            <w:vMerge w:val="continue"/>
            <w:tcBorders>
              <w:left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5</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检修ABC灭火器</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5kg</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33</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具</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7367</w:t>
            </w:r>
          </w:p>
        </w:tc>
        <w:tc>
          <w:tcPr>
            <w:tcW w:w="5939" w:type="dxa"/>
            <w:vMerge w:val="continue"/>
            <w:tcBorders>
              <w:left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6</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检修ABC推车灭火器</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20kg</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150</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台</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10</w:t>
            </w:r>
          </w:p>
        </w:tc>
        <w:tc>
          <w:tcPr>
            <w:tcW w:w="5939" w:type="dxa"/>
            <w:vMerge w:val="continue"/>
            <w:tcBorders>
              <w:left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7</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检修ABC推车灭火器</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35kg</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240</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台</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21</w:t>
            </w:r>
          </w:p>
        </w:tc>
        <w:tc>
          <w:tcPr>
            <w:tcW w:w="5939" w:type="dxa"/>
            <w:vMerge w:val="continue"/>
            <w:tcBorders>
              <w:left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8</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检修二氧化碳灭火器</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2kg</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38</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具</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1451</w:t>
            </w:r>
          </w:p>
        </w:tc>
        <w:tc>
          <w:tcPr>
            <w:tcW w:w="5939" w:type="dxa"/>
            <w:vMerge w:val="continue"/>
            <w:tcBorders>
              <w:left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9</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检修二氧化碳灭火器</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3kg</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52</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具</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43</w:t>
            </w:r>
          </w:p>
        </w:tc>
        <w:tc>
          <w:tcPr>
            <w:tcW w:w="5939" w:type="dxa"/>
            <w:vMerge w:val="continue"/>
            <w:tcBorders>
              <w:left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1"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10</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检修二氧化碳灭火器</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5kg</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90</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具</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109</w:t>
            </w:r>
          </w:p>
        </w:tc>
        <w:tc>
          <w:tcPr>
            <w:tcW w:w="5939" w:type="dxa"/>
            <w:vMerge w:val="continue"/>
            <w:tcBorders>
              <w:left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11</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检修二氧化碳灭火器</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24kg</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450</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台</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5</w:t>
            </w:r>
          </w:p>
        </w:tc>
        <w:tc>
          <w:tcPr>
            <w:tcW w:w="5939" w:type="dxa"/>
            <w:vMerge w:val="continue"/>
            <w:tcBorders>
              <w:left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12</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检修水系灭火器</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3L</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28</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具</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105</w:t>
            </w:r>
          </w:p>
        </w:tc>
        <w:tc>
          <w:tcPr>
            <w:tcW w:w="5939" w:type="dxa"/>
            <w:vMerge w:val="continue"/>
            <w:tcBorders>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3"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13</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检修七氟丙烷钢瓶</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70L</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1745</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个</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2</w:t>
            </w:r>
          </w:p>
        </w:tc>
        <w:tc>
          <w:tcPr>
            <w:tcW w:w="5939"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shd w:val="solid" w:color="FFFFFF" w:fill="auto"/>
              <w:autoSpaceDN w:val="0"/>
              <w:spacing w:before="150"/>
              <w:jc w:val="left"/>
              <w:rPr>
                <w:rFonts w:ascii="宋体" w:hAnsi="宋体" w:cs="宋体"/>
                <w:color w:val="auto"/>
                <w:sz w:val="42"/>
                <w:szCs w:val="20"/>
                <w:shd w:val="clear" w:color="auto" w:fill="FFFFFF"/>
              </w:rPr>
            </w:pPr>
            <w:r>
              <w:rPr>
                <w:rFonts w:hint="eastAsia" w:ascii="宋体" w:hAnsi="宋体" w:cs="宋体"/>
                <w:color w:val="auto"/>
                <w:sz w:val="24"/>
              </w:rPr>
              <w:t>执行GB55036-2023《消防设施通用规范》及《气体灭火系统施工及验收规范》(GB50263-2007)</w:t>
            </w:r>
            <w:r>
              <w:rPr>
                <w:rFonts w:hint="eastAsia"/>
                <w:color w:val="auto"/>
                <w:szCs w:val="20"/>
              </w:rPr>
              <w:t>的有效条款</w:t>
            </w:r>
          </w:p>
          <w:p>
            <w:pPr>
              <w:jc w:val="left"/>
              <w:rPr>
                <w:rFonts w:ascii="宋体" w:hAnsi="宋体" w:cs="宋体"/>
                <w:color w:val="auto"/>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14</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检修七氟丙烷钢瓶</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90L</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2000</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个</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2</w:t>
            </w:r>
          </w:p>
        </w:tc>
        <w:tc>
          <w:tcPr>
            <w:tcW w:w="5939"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shd w:val="solid" w:color="FFFFFF" w:fill="auto"/>
              <w:autoSpaceDN w:val="0"/>
              <w:spacing w:before="150"/>
              <w:jc w:val="left"/>
              <w:rPr>
                <w:rFonts w:ascii="宋体" w:hAnsi="宋体" w:cs="宋体"/>
                <w:color w:val="auto"/>
                <w:sz w:val="42"/>
                <w:szCs w:val="20"/>
                <w:shd w:val="clear" w:color="auto" w:fill="FFFFFF"/>
              </w:rPr>
            </w:pPr>
            <w:r>
              <w:rPr>
                <w:rFonts w:hint="eastAsia" w:ascii="宋体" w:hAnsi="宋体" w:cs="宋体"/>
                <w:color w:val="auto"/>
                <w:sz w:val="24"/>
              </w:rPr>
              <w:t>执行GB55036-2023《消防设施通用规范》及《气体灭火系统施工及验收规范》(GB50263-2007)的有效条款</w:t>
            </w:r>
          </w:p>
          <w:p>
            <w:pPr>
              <w:jc w:val="left"/>
              <w:rPr>
                <w:rFonts w:ascii="宋体" w:hAnsi="宋体" w:cs="宋体"/>
                <w:color w:val="auto"/>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15</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检修七氟丙烷钢瓶</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120L</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2500</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个</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36</w:t>
            </w:r>
          </w:p>
        </w:tc>
        <w:tc>
          <w:tcPr>
            <w:tcW w:w="5939"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shd w:val="solid" w:color="FFFFFF" w:fill="auto"/>
              <w:autoSpaceDN w:val="0"/>
              <w:spacing w:before="150"/>
              <w:jc w:val="left"/>
              <w:rPr>
                <w:rFonts w:ascii="宋体" w:hAnsi="宋体" w:cs="宋体"/>
                <w:color w:val="auto"/>
                <w:sz w:val="42"/>
                <w:szCs w:val="20"/>
                <w:shd w:val="clear" w:color="auto" w:fill="FFFFFF"/>
              </w:rPr>
            </w:pPr>
            <w:r>
              <w:rPr>
                <w:rFonts w:hint="eastAsia" w:ascii="宋体" w:hAnsi="宋体" w:cs="宋体"/>
                <w:color w:val="auto"/>
                <w:sz w:val="24"/>
              </w:rPr>
              <w:t>执行GB55036-2023《消防设施通用规范》及《气体灭火系统施工及验收规范》(GB50263-2007)的有效条款</w:t>
            </w:r>
          </w:p>
          <w:p>
            <w:pPr>
              <w:jc w:val="left"/>
              <w:rPr>
                <w:rFonts w:ascii="宋体" w:hAnsi="宋体" w:cs="宋体"/>
                <w:color w:val="auto"/>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16</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检修氮气启动瓶</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6L</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108</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个</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7</w:t>
            </w:r>
          </w:p>
        </w:tc>
        <w:tc>
          <w:tcPr>
            <w:tcW w:w="5939"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shd w:val="solid" w:color="FFFFFF" w:fill="auto"/>
              <w:autoSpaceDN w:val="0"/>
              <w:spacing w:before="150"/>
              <w:jc w:val="left"/>
              <w:rPr>
                <w:rFonts w:ascii="宋体" w:hAnsi="宋体" w:cs="宋体"/>
                <w:color w:val="auto"/>
                <w:sz w:val="42"/>
                <w:szCs w:val="20"/>
                <w:shd w:val="clear" w:color="auto" w:fill="FFFFFF"/>
              </w:rPr>
            </w:pPr>
            <w:r>
              <w:rPr>
                <w:rFonts w:hint="eastAsia" w:ascii="宋体" w:hAnsi="宋体" w:cs="宋体"/>
                <w:color w:val="auto"/>
                <w:sz w:val="24"/>
              </w:rPr>
              <w:t>执行GB55036-2023《消防设施通用规范》及《气体灭火系统施工及验收规范》(GB50263-2007)的有效条款</w:t>
            </w:r>
          </w:p>
          <w:p>
            <w:pPr>
              <w:jc w:val="left"/>
              <w:rPr>
                <w:rFonts w:ascii="宋体" w:hAnsi="宋体" w:cs="宋体"/>
                <w:color w:val="auto"/>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17</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新购ABC灭火器</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1kg</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60</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具</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16</w:t>
            </w:r>
          </w:p>
        </w:tc>
        <w:tc>
          <w:tcPr>
            <w:tcW w:w="5939"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41"/>
              <w:gridCol w:w="657"/>
              <w:gridCol w:w="709"/>
              <w:gridCol w:w="709"/>
              <w:gridCol w:w="567"/>
              <w:gridCol w:w="709"/>
              <w:gridCol w:w="389"/>
              <w:gridCol w:w="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规格</w:t>
                  </w:r>
                </w:p>
              </w:tc>
              <w:tc>
                <w:tcPr>
                  <w:tcW w:w="741"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灭火剂重量Kg</w:t>
                  </w:r>
                </w:p>
              </w:tc>
              <w:tc>
                <w:tcPr>
                  <w:tcW w:w="657"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有效喷射时间S</w:t>
                  </w:r>
                </w:p>
              </w:tc>
              <w:tc>
                <w:tcPr>
                  <w:tcW w:w="709"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有效喷射距离m</w:t>
                  </w:r>
                </w:p>
              </w:tc>
              <w:tc>
                <w:tcPr>
                  <w:tcW w:w="709"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喷射滞后时间S</w:t>
                  </w:r>
                </w:p>
              </w:tc>
              <w:tc>
                <w:tcPr>
                  <w:tcW w:w="567"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喷射剩余率%</w:t>
                  </w:r>
                </w:p>
              </w:tc>
              <w:tc>
                <w:tcPr>
                  <w:tcW w:w="709"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电绝缘性KV</w:t>
                  </w:r>
                </w:p>
              </w:tc>
              <w:tc>
                <w:tcPr>
                  <w:tcW w:w="805" w:type="dxa"/>
                  <w:gridSpan w:val="2"/>
                  <w:vAlign w:val="center"/>
                </w:tcPr>
                <w:p>
                  <w:pPr>
                    <w:jc w:val="center"/>
                    <w:rPr>
                      <w:rFonts w:ascii="宋体" w:hAnsi="宋体" w:cs="宋体"/>
                      <w:color w:val="auto"/>
                      <w:sz w:val="15"/>
                      <w:szCs w:val="15"/>
                    </w:rPr>
                  </w:pPr>
                  <w:r>
                    <w:rPr>
                      <w:rFonts w:hint="eastAsia" w:ascii="宋体" w:hAnsi="宋体" w:cs="宋体"/>
                      <w:color w:val="auto"/>
                      <w:sz w:val="15"/>
                      <w:szCs w:val="15"/>
                    </w:rPr>
                    <w:t>灭火级别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宋体" w:hAnsi="宋体" w:cs="宋体"/>
                      <w:color w:val="auto"/>
                      <w:sz w:val="15"/>
                      <w:szCs w:val="15"/>
                    </w:rPr>
                  </w:pPr>
                </w:p>
              </w:tc>
              <w:tc>
                <w:tcPr>
                  <w:tcW w:w="741" w:type="dxa"/>
                  <w:vMerge w:val="continue"/>
                  <w:vAlign w:val="center"/>
                </w:tcPr>
                <w:p>
                  <w:pPr>
                    <w:jc w:val="center"/>
                    <w:rPr>
                      <w:rFonts w:ascii="宋体" w:hAnsi="宋体" w:cs="宋体"/>
                      <w:color w:val="auto"/>
                      <w:sz w:val="15"/>
                      <w:szCs w:val="15"/>
                    </w:rPr>
                  </w:pPr>
                </w:p>
              </w:tc>
              <w:tc>
                <w:tcPr>
                  <w:tcW w:w="657" w:type="dxa"/>
                  <w:vMerge w:val="continue"/>
                  <w:vAlign w:val="center"/>
                </w:tcPr>
                <w:p>
                  <w:pPr>
                    <w:jc w:val="center"/>
                    <w:rPr>
                      <w:rFonts w:ascii="宋体" w:hAnsi="宋体" w:cs="宋体"/>
                      <w:color w:val="auto"/>
                      <w:sz w:val="15"/>
                      <w:szCs w:val="15"/>
                    </w:rPr>
                  </w:pPr>
                </w:p>
              </w:tc>
              <w:tc>
                <w:tcPr>
                  <w:tcW w:w="709" w:type="dxa"/>
                  <w:vMerge w:val="continue"/>
                  <w:vAlign w:val="center"/>
                </w:tcPr>
                <w:p>
                  <w:pPr>
                    <w:jc w:val="center"/>
                    <w:rPr>
                      <w:rFonts w:ascii="宋体" w:hAnsi="宋体" w:cs="宋体"/>
                      <w:color w:val="auto"/>
                      <w:sz w:val="15"/>
                      <w:szCs w:val="15"/>
                    </w:rPr>
                  </w:pPr>
                </w:p>
              </w:tc>
              <w:tc>
                <w:tcPr>
                  <w:tcW w:w="709" w:type="dxa"/>
                  <w:vMerge w:val="continue"/>
                  <w:vAlign w:val="center"/>
                </w:tcPr>
                <w:p>
                  <w:pPr>
                    <w:jc w:val="center"/>
                    <w:rPr>
                      <w:rFonts w:ascii="宋体" w:hAnsi="宋体" w:cs="宋体"/>
                      <w:color w:val="auto"/>
                      <w:sz w:val="15"/>
                      <w:szCs w:val="15"/>
                    </w:rPr>
                  </w:pPr>
                </w:p>
              </w:tc>
              <w:tc>
                <w:tcPr>
                  <w:tcW w:w="567" w:type="dxa"/>
                  <w:vMerge w:val="continue"/>
                  <w:vAlign w:val="center"/>
                </w:tcPr>
                <w:p>
                  <w:pPr>
                    <w:jc w:val="center"/>
                    <w:rPr>
                      <w:rFonts w:ascii="宋体" w:hAnsi="宋体" w:cs="宋体"/>
                      <w:color w:val="auto"/>
                      <w:sz w:val="15"/>
                      <w:szCs w:val="15"/>
                    </w:rPr>
                  </w:pPr>
                </w:p>
              </w:tc>
              <w:tc>
                <w:tcPr>
                  <w:tcW w:w="709" w:type="dxa"/>
                  <w:vMerge w:val="continue"/>
                  <w:vAlign w:val="center"/>
                </w:tcPr>
                <w:p>
                  <w:pPr>
                    <w:jc w:val="center"/>
                    <w:rPr>
                      <w:rFonts w:ascii="宋体" w:hAnsi="宋体" w:cs="宋体"/>
                      <w:color w:val="auto"/>
                      <w:sz w:val="15"/>
                      <w:szCs w:val="15"/>
                    </w:rPr>
                  </w:pPr>
                </w:p>
              </w:tc>
              <w:tc>
                <w:tcPr>
                  <w:tcW w:w="389" w:type="dxa"/>
                  <w:vAlign w:val="center"/>
                </w:tcPr>
                <w:p>
                  <w:pPr>
                    <w:jc w:val="center"/>
                    <w:rPr>
                      <w:rFonts w:ascii="宋体" w:hAnsi="宋体" w:cs="宋体"/>
                      <w:color w:val="auto"/>
                      <w:sz w:val="15"/>
                      <w:szCs w:val="15"/>
                    </w:rPr>
                  </w:pPr>
                  <w:r>
                    <w:rPr>
                      <w:rFonts w:hint="eastAsia" w:ascii="宋体" w:hAnsi="宋体" w:cs="宋体"/>
                      <w:color w:val="auto"/>
                      <w:sz w:val="15"/>
                      <w:szCs w:val="15"/>
                    </w:rPr>
                    <w:t>A</w:t>
                  </w:r>
                </w:p>
              </w:tc>
              <w:tc>
                <w:tcPr>
                  <w:tcW w:w="416" w:type="dxa"/>
                  <w:vAlign w:val="center"/>
                </w:tcPr>
                <w:p>
                  <w:pPr>
                    <w:jc w:val="center"/>
                    <w:rPr>
                      <w:rFonts w:ascii="宋体" w:hAnsi="宋体" w:cs="宋体"/>
                      <w:color w:val="auto"/>
                      <w:sz w:val="15"/>
                      <w:szCs w:val="15"/>
                    </w:rPr>
                  </w:pPr>
                  <w:r>
                    <w:rPr>
                      <w:rFonts w:hint="eastAsia" w:ascii="宋体" w:hAnsi="宋体" w:cs="宋体"/>
                      <w:color w:val="auto"/>
                      <w:sz w:val="15"/>
                      <w:szCs w:val="15"/>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jc w:val="center"/>
                    <w:rPr>
                      <w:rFonts w:ascii="宋体" w:hAnsi="宋体" w:cs="宋体"/>
                      <w:color w:val="auto"/>
                      <w:sz w:val="15"/>
                      <w:szCs w:val="15"/>
                    </w:rPr>
                  </w:pPr>
                  <w:r>
                    <w:rPr>
                      <w:rFonts w:hint="eastAsia" w:ascii="宋体" w:hAnsi="宋体" w:cs="宋体"/>
                      <w:color w:val="auto"/>
                      <w:sz w:val="15"/>
                      <w:szCs w:val="15"/>
                    </w:rPr>
                    <w:t>MFZ/ABC1</w:t>
                  </w:r>
                </w:p>
              </w:tc>
              <w:tc>
                <w:tcPr>
                  <w:tcW w:w="741" w:type="dxa"/>
                </w:tcPr>
                <w:p>
                  <w:pPr>
                    <w:jc w:val="center"/>
                    <w:rPr>
                      <w:rFonts w:ascii="宋体" w:hAnsi="宋体" w:cs="宋体"/>
                      <w:color w:val="auto"/>
                      <w:sz w:val="15"/>
                      <w:szCs w:val="15"/>
                    </w:rPr>
                  </w:pPr>
                  <w:r>
                    <w:rPr>
                      <w:rFonts w:hint="eastAsia" w:ascii="宋体" w:hAnsi="宋体" w:cs="宋体"/>
                      <w:color w:val="auto"/>
                      <w:sz w:val="15"/>
                      <w:szCs w:val="15"/>
                    </w:rPr>
                    <w:t>1±0.05</w:t>
                  </w:r>
                </w:p>
              </w:tc>
              <w:tc>
                <w:tcPr>
                  <w:tcW w:w="657" w:type="dxa"/>
                </w:tcPr>
                <w:p>
                  <w:pPr>
                    <w:jc w:val="center"/>
                    <w:rPr>
                      <w:rFonts w:ascii="宋体" w:hAnsi="宋体" w:cs="宋体"/>
                      <w:color w:val="auto"/>
                      <w:sz w:val="15"/>
                      <w:szCs w:val="15"/>
                    </w:rPr>
                  </w:pPr>
                  <w:r>
                    <w:rPr>
                      <w:rFonts w:hint="eastAsia" w:ascii="宋体" w:hAnsi="宋体" w:cs="宋体"/>
                      <w:color w:val="auto"/>
                      <w:sz w:val="15"/>
                      <w:szCs w:val="15"/>
                    </w:rPr>
                    <w:t>≥8</w:t>
                  </w:r>
                </w:p>
              </w:tc>
              <w:tc>
                <w:tcPr>
                  <w:tcW w:w="709" w:type="dxa"/>
                </w:tcPr>
                <w:p>
                  <w:pPr>
                    <w:jc w:val="center"/>
                    <w:rPr>
                      <w:rFonts w:ascii="宋体" w:hAnsi="宋体" w:cs="宋体"/>
                      <w:color w:val="auto"/>
                      <w:sz w:val="15"/>
                      <w:szCs w:val="15"/>
                    </w:rPr>
                  </w:pPr>
                  <w:r>
                    <w:rPr>
                      <w:rFonts w:hint="eastAsia" w:ascii="宋体" w:hAnsi="宋体" w:cs="宋体"/>
                      <w:color w:val="auto"/>
                      <w:sz w:val="15"/>
                      <w:szCs w:val="15"/>
                    </w:rPr>
                    <w:t>≥3.0</w:t>
                  </w:r>
                </w:p>
              </w:tc>
              <w:tc>
                <w:tcPr>
                  <w:tcW w:w="709" w:type="dxa"/>
                  <w:vAlign w:val="center"/>
                </w:tcPr>
                <w:p>
                  <w:pPr>
                    <w:jc w:val="center"/>
                    <w:rPr>
                      <w:rFonts w:ascii="宋体" w:hAnsi="宋体" w:cs="宋体"/>
                      <w:color w:val="auto"/>
                      <w:sz w:val="15"/>
                      <w:szCs w:val="15"/>
                    </w:rPr>
                  </w:pPr>
                  <w:r>
                    <w:rPr>
                      <w:rFonts w:hint="eastAsia" w:ascii="宋体" w:hAnsi="宋体" w:cs="宋体"/>
                      <w:color w:val="auto"/>
                      <w:sz w:val="15"/>
                      <w:szCs w:val="15"/>
                    </w:rPr>
                    <w:t>≤5</w:t>
                  </w:r>
                </w:p>
              </w:tc>
              <w:tc>
                <w:tcPr>
                  <w:tcW w:w="567" w:type="dxa"/>
                  <w:vAlign w:val="center"/>
                </w:tcPr>
                <w:p>
                  <w:pPr>
                    <w:jc w:val="center"/>
                    <w:rPr>
                      <w:rFonts w:ascii="宋体" w:hAnsi="宋体" w:cs="宋体"/>
                      <w:color w:val="auto"/>
                      <w:sz w:val="15"/>
                      <w:szCs w:val="15"/>
                    </w:rPr>
                  </w:pPr>
                  <w:r>
                    <w:rPr>
                      <w:rFonts w:hint="eastAsia" w:ascii="宋体" w:hAnsi="宋体" w:cs="宋体"/>
                      <w:color w:val="auto"/>
                      <w:sz w:val="15"/>
                      <w:szCs w:val="15"/>
                    </w:rPr>
                    <w:t>≤15</w:t>
                  </w:r>
                </w:p>
              </w:tc>
              <w:tc>
                <w:tcPr>
                  <w:tcW w:w="709" w:type="dxa"/>
                  <w:vAlign w:val="center"/>
                </w:tcPr>
                <w:p>
                  <w:pPr>
                    <w:jc w:val="center"/>
                    <w:rPr>
                      <w:rFonts w:ascii="宋体" w:hAnsi="宋体" w:cs="宋体"/>
                      <w:color w:val="auto"/>
                      <w:sz w:val="15"/>
                      <w:szCs w:val="15"/>
                    </w:rPr>
                  </w:pPr>
                  <w:r>
                    <w:rPr>
                      <w:rFonts w:hint="eastAsia" w:ascii="宋体" w:hAnsi="宋体" w:cs="宋体"/>
                      <w:color w:val="auto"/>
                      <w:sz w:val="15"/>
                      <w:szCs w:val="15"/>
                    </w:rPr>
                    <w:t>≥5</w:t>
                  </w:r>
                </w:p>
              </w:tc>
              <w:tc>
                <w:tcPr>
                  <w:tcW w:w="389" w:type="dxa"/>
                </w:tcPr>
                <w:p>
                  <w:pPr>
                    <w:jc w:val="center"/>
                    <w:rPr>
                      <w:rFonts w:ascii="宋体" w:hAnsi="宋体" w:cs="宋体"/>
                      <w:color w:val="auto"/>
                      <w:sz w:val="15"/>
                      <w:szCs w:val="15"/>
                    </w:rPr>
                  </w:pPr>
                  <w:r>
                    <w:rPr>
                      <w:rFonts w:hint="eastAsia" w:ascii="宋体" w:hAnsi="宋体" w:cs="宋体"/>
                      <w:color w:val="auto"/>
                      <w:sz w:val="15"/>
                      <w:szCs w:val="15"/>
                    </w:rPr>
                    <w:t>1</w:t>
                  </w:r>
                </w:p>
              </w:tc>
              <w:tc>
                <w:tcPr>
                  <w:tcW w:w="416" w:type="dxa"/>
                </w:tcPr>
                <w:p>
                  <w:pPr>
                    <w:jc w:val="center"/>
                    <w:rPr>
                      <w:rFonts w:ascii="宋体" w:hAnsi="宋体" w:cs="宋体"/>
                      <w:color w:val="auto"/>
                      <w:sz w:val="15"/>
                      <w:szCs w:val="15"/>
                    </w:rPr>
                  </w:pPr>
                  <w:r>
                    <w:rPr>
                      <w:rFonts w:hint="eastAsia" w:ascii="宋体" w:hAnsi="宋体" w:cs="宋体"/>
                      <w:color w:val="auto"/>
                      <w:sz w:val="15"/>
                      <w:szCs w:val="15"/>
                    </w:rPr>
                    <w:t>21</w:t>
                  </w:r>
                </w:p>
              </w:tc>
            </w:tr>
          </w:tbl>
          <w:p>
            <w:pPr>
              <w:rPr>
                <w:rFonts w:ascii="宋体" w:hAnsi="宋体" w:cs="宋体"/>
                <w:color w:val="auto"/>
                <w:sz w:val="24"/>
              </w:rPr>
            </w:pPr>
            <w:r>
              <w:rPr>
                <w:rFonts w:hint="eastAsia" w:ascii="宋体" w:hAnsi="宋体" w:cs="宋体"/>
                <w:color w:val="auto"/>
                <w:sz w:val="24"/>
              </w:rPr>
              <w:t>★提供产品的3C认证证书。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18</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新购ABC灭火器</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2kg</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68</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具</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20</w:t>
            </w:r>
          </w:p>
        </w:tc>
        <w:tc>
          <w:tcPr>
            <w:tcW w:w="5939"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41"/>
              <w:gridCol w:w="657"/>
              <w:gridCol w:w="709"/>
              <w:gridCol w:w="709"/>
              <w:gridCol w:w="567"/>
              <w:gridCol w:w="709"/>
              <w:gridCol w:w="389"/>
              <w:gridCol w:w="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规格</w:t>
                  </w:r>
                </w:p>
              </w:tc>
              <w:tc>
                <w:tcPr>
                  <w:tcW w:w="741"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灭火剂重量Kg</w:t>
                  </w:r>
                </w:p>
              </w:tc>
              <w:tc>
                <w:tcPr>
                  <w:tcW w:w="657"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有效喷射时间S</w:t>
                  </w:r>
                </w:p>
              </w:tc>
              <w:tc>
                <w:tcPr>
                  <w:tcW w:w="709"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有效喷射距离m</w:t>
                  </w:r>
                </w:p>
              </w:tc>
              <w:tc>
                <w:tcPr>
                  <w:tcW w:w="709"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喷射滞后时间S</w:t>
                  </w:r>
                </w:p>
              </w:tc>
              <w:tc>
                <w:tcPr>
                  <w:tcW w:w="567"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喷射剩余率%</w:t>
                  </w:r>
                </w:p>
              </w:tc>
              <w:tc>
                <w:tcPr>
                  <w:tcW w:w="709"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电绝缘性KV</w:t>
                  </w:r>
                </w:p>
              </w:tc>
              <w:tc>
                <w:tcPr>
                  <w:tcW w:w="805" w:type="dxa"/>
                  <w:gridSpan w:val="2"/>
                  <w:vAlign w:val="center"/>
                </w:tcPr>
                <w:p>
                  <w:pPr>
                    <w:jc w:val="center"/>
                    <w:rPr>
                      <w:rFonts w:ascii="宋体" w:hAnsi="宋体" w:cs="宋体"/>
                      <w:color w:val="auto"/>
                      <w:sz w:val="15"/>
                      <w:szCs w:val="15"/>
                    </w:rPr>
                  </w:pPr>
                  <w:r>
                    <w:rPr>
                      <w:rFonts w:hint="eastAsia" w:ascii="宋体" w:hAnsi="宋体" w:cs="宋体"/>
                      <w:color w:val="auto"/>
                      <w:sz w:val="15"/>
                      <w:szCs w:val="15"/>
                    </w:rPr>
                    <w:t>灭火级别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color w:val="auto"/>
                      <w:sz w:val="15"/>
                      <w:szCs w:val="15"/>
                    </w:rPr>
                  </w:pPr>
                </w:p>
              </w:tc>
              <w:tc>
                <w:tcPr>
                  <w:tcW w:w="741" w:type="dxa"/>
                  <w:vMerge w:val="continue"/>
                  <w:vAlign w:val="center"/>
                </w:tcPr>
                <w:p>
                  <w:pPr>
                    <w:jc w:val="center"/>
                    <w:rPr>
                      <w:rFonts w:ascii="宋体" w:hAnsi="宋体" w:cs="宋体"/>
                      <w:color w:val="auto"/>
                      <w:sz w:val="15"/>
                      <w:szCs w:val="15"/>
                    </w:rPr>
                  </w:pPr>
                </w:p>
              </w:tc>
              <w:tc>
                <w:tcPr>
                  <w:tcW w:w="657" w:type="dxa"/>
                  <w:vMerge w:val="continue"/>
                  <w:vAlign w:val="center"/>
                </w:tcPr>
                <w:p>
                  <w:pPr>
                    <w:jc w:val="center"/>
                    <w:rPr>
                      <w:rFonts w:ascii="宋体" w:hAnsi="宋体" w:cs="宋体"/>
                      <w:color w:val="auto"/>
                      <w:sz w:val="15"/>
                      <w:szCs w:val="15"/>
                    </w:rPr>
                  </w:pPr>
                </w:p>
              </w:tc>
              <w:tc>
                <w:tcPr>
                  <w:tcW w:w="709" w:type="dxa"/>
                  <w:vMerge w:val="continue"/>
                  <w:vAlign w:val="center"/>
                </w:tcPr>
                <w:p>
                  <w:pPr>
                    <w:jc w:val="center"/>
                    <w:rPr>
                      <w:rFonts w:ascii="宋体" w:hAnsi="宋体" w:cs="宋体"/>
                      <w:color w:val="auto"/>
                      <w:sz w:val="15"/>
                      <w:szCs w:val="15"/>
                    </w:rPr>
                  </w:pPr>
                </w:p>
              </w:tc>
              <w:tc>
                <w:tcPr>
                  <w:tcW w:w="709" w:type="dxa"/>
                  <w:vMerge w:val="continue"/>
                  <w:vAlign w:val="center"/>
                </w:tcPr>
                <w:p>
                  <w:pPr>
                    <w:jc w:val="center"/>
                    <w:rPr>
                      <w:rFonts w:ascii="宋体" w:hAnsi="宋体" w:cs="宋体"/>
                      <w:color w:val="auto"/>
                      <w:sz w:val="15"/>
                      <w:szCs w:val="15"/>
                    </w:rPr>
                  </w:pPr>
                </w:p>
              </w:tc>
              <w:tc>
                <w:tcPr>
                  <w:tcW w:w="567" w:type="dxa"/>
                  <w:vMerge w:val="continue"/>
                  <w:vAlign w:val="center"/>
                </w:tcPr>
                <w:p>
                  <w:pPr>
                    <w:jc w:val="center"/>
                    <w:rPr>
                      <w:rFonts w:ascii="宋体" w:hAnsi="宋体" w:cs="宋体"/>
                      <w:color w:val="auto"/>
                      <w:sz w:val="15"/>
                      <w:szCs w:val="15"/>
                    </w:rPr>
                  </w:pPr>
                </w:p>
              </w:tc>
              <w:tc>
                <w:tcPr>
                  <w:tcW w:w="709" w:type="dxa"/>
                  <w:vMerge w:val="continue"/>
                  <w:vAlign w:val="center"/>
                </w:tcPr>
                <w:p>
                  <w:pPr>
                    <w:jc w:val="center"/>
                    <w:rPr>
                      <w:rFonts w:ascii="宋体" w:hAnsi="宋体" w:cs="宋体"/>
                      <w:color w:val="auto"/>
                      <w:sz w:val="15"/>
                      <w:szCs w:val="15"/>
                    </w:rPr>
                  </w:pPr>
                </w:p>
              </w:tc>
              <w:tc>
                <w:tcPr>
                  <w:tcW w:w="389" w:type="dxa"/>
                  <w:vAlign w:val="center"/>
                </w:tcPr>
                <w:p>
                  <w:pPr>
                    <w:jc w:val="center"/>
                    <w:rPr>
                      <w:rFonts w:ascii="宋体" w:hAnsi="宋体" w:cs="宋体"/>
                      <w:color w:val="auto"/>
                      <w:sz w:val="15"/>
                      <w:szCs w:val="15"/>
                    </w:rPr>
                  </w:pPr>
                  <w:r>
                    <w:rPr>
                      <w:rFonts w:hint="eastAsia" w:ascii="宋体" w:hAnsi="宋体" w:cs="宋体"/>
                      <w:color w:val="auto"/>
                      <w:sz w:val="15"/>
                      <w:szCs w:val="15"/>
                    </w:rPr>
                    <w:t>A</w:t>
                  </w:r>
                </w:p>
              </w:tc>
              <w:tc>
                <w:tcPr>
                  <w:tcW w:w="416" w:type="dxa"/>
                  <w:vAlign w:val="center"/>
                </w:tcPr>
                <w:p>
                  <w:pPr>
                    <w:jc w:val="center"/>
                    <w:rPr>
                      <w:rFonts w:ascii="宋体" w:hAnsi="宋体" w:cs="宋体"/>
                      <w:color w:val="auto"/>
                      <w:sz w:val="15"/>
                      <w:szCs w:val="15"/>
                    </w:rPr>
                  </w:pPr>
                  <w:r>
                    <w:rPr>
                      <w:rFonts w:hint="eastAsia" w:ascii="宋体" w:hAnsi="宋体" w:cs="宋体"/>
                      <w:color w:val="auto"/>
                      <w:sz w:val="15"/>
                      <w:szCs w:val="15"/>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s="宋体"/>
                      <w:color w:val="auto"/>
                      <w:sz w:val="15"/>
                      <w:szCs w:val="15"/>
                    </w:rPr>
                  </w:pPr>
                  <w:r>
                    <w:rPr>
                      <w:rFonts w:hint="eastAsia" w:ascii="宋体" w:hAnsi="宋体" w:cs="宋体"/>
                      <w:color w:val="auto"/>
                      <w:sz w:val="15"/>
                      <w:szCs w:val="15"/>
                    </w:rPr>
                    <w:t>MFZ/ABC2</w:t>
                  </w:r>
                </w:p>
              </w:tc>
              <w:tc>
                <w:tcPr>
                  <w:tcW w:w="741" w:type="dxa"/>
                </w:tcPr>
                <w:p>
                  <w:pPr>
                    <w:jc w:val="center"/>
                    <w:rPr>
                      <w:rFonts w:ascii="宋体" w:hAnsi="宋体" w:cs="宋体"/>
                      <w:color w:val="auto"/>
                      <w:sz w:val="15"/>
                      <w:szCs w:val="15"/>
                    </w:rPr>
                  </w:pPr>
                  <w:r>
                    <w:rPr>
                      <w:rFonts w:hint="eastAsia" w:ascii="宋体" w:hAnsi="宋体" w:cs="宋体"/>
                      <w:color w:val="auto"/>
                      <w:sz w:val="15"/>
                      <w:szCs w:val="15"/>
                    </w:rPr>
                    <w:t>2±0.06</w:t>
                  </w:r>
                </w:p>
              </w:tc>
              <w:tc>
                <w:tcPr>
                  <w:tcW w:w="657" w:type="dxa"/>
                </w:tcPr>
                <w:p>
                  <w:pPr>
                    <w:jc w:val="center"/>
                    <w:rPr>
                      <w:rFonts w:ascii="宋体" w:hAnsi="宋体" w:cs="宋体"/>
                      <w:color w:val="auto"/>
                      <w:sz w:val="15"/>
                      <w:szCs w:val="15"/>
                    </w:rPr>
                  </w:pPr>
                  <w:r>
                    <w:rPr>
                      <w:rFonts w:hint="eastAsia" w:ascii="宋体" w:hAnsi="宋体" w:cs="宋体"/>
                      <w:color w:val="auto"/>
                      <w:sz w:val="15"/>
                      <w:szCs w:val="15"/>
                    </w:rPr>
                    <w:t>≥8</w:t>
                  </w:r>
                </w:p>
              </w:tc>
              <w:tc>
                <w:tcPr>
                  <w:tcW w:w="709" w:type="dxa"/>
                </w:tcPr>
                <w:p>
                  <w:pPr>
                    <w:jc w:val="center"/>
                    <w:rPr>
                      <w:rFonts w:ascii="宋体" w:hAnsi="宋体" w:cs="宋体"/>
                      <w:color w:val="auto"/>
                      <w:sz w:val="15"/>
                      <w:szCs w:val="15"/>
                    </w:rPr>
                  </w:pPr>
                  <w:r>
                    <w:rPr>
                      <w:rFonts w:hint="eastAsia" w:ascii="宋体" w:hAnsi="宋体" w:cs="宋体"/>
                      <w:color w:val="auto"/>
                      <w:sz w:val="15"/>
                      <w:szCs w:val="15"/>
                    </w:rPr>
                    <w:t>≥3.0</w:t>
                  </w:r>
                </w:p>
              </w:tc>
              <w:tc>
                <w:tcPr>
                  <w:tcW w:w="709" w:type="dxa"/>
                  <w:vAlign w:val="center"/>
                </w:tcPr>
                <w:p>
                  <w:pPr>
                    <w:jc w:val="center"/>
                    <w:rPr>
                      <w:rFonts w:ascii="宋体" w:hAnsi="宋体" w:cs="宋体"/>
                      <w:color w:val="auto"/>
                      <w:sz w:val="15"/>
                      <w:szCs w:val="15"/>
                    </w:rPr>
                  </w:pPr>
                  <w:r>
                    <w:rPr>
                      <w:rFonts w:hint="eastAsia" w:ascii="宋体" w:hAnsi="宋体" w:cs="宋体"/>
                      <w:color w:val="auto"/>
                      <w:sz w:val="15"/>
                      <w:szCs w:val="15"/>
                    </w:rPr>
                    <w:t>≤5</w:t>
                  </w:r>
                </w:p>
              </w:tc>
              <w:tc>
                <w:tcPr>
                  <w:tcW w:w="567" w:type="dxa"/>
                  <w:vAlign w:val="center"/>
                </w:tcPr>
                <w:p>
                  <w:pPr>
                    <w:jc w:val="center"/>
                    <w:rPr>
                      <w:rFonts w:ascii="宋体" w:hAnsi="宋体" w:cs="宋体"/>
                      <w:color w:val="auto"/>
                      <w:sz w:val="15"/>
                      <w:szCs w:val="15"/>
                    </w:rPr>
                  </w:pPr>
                  <w:r>
                    <w:rPr>
                      <w:rFonts w:hint="eastAsia" w:ascii="宋体" w:hAnsi="宋体" w:cs="宋体"/>
                      <w:color w:val="auto"/>
                      <w:sz w:val="15"/>
                      <w:szCs w:val="15"/>
                    </w:rPr>
                    <w:t>≤15</w:t>
                  </w:r>
                </w:p>
              </w:tc>
              <w:tc>
                <w:tcPr>
                  <w:tcW w:w="709" w:type="dxa"/>
                  <w:vAlign w:val="center"/>
                </w:tcPr>
                <w:p>
                  <w:pPr>
                    <w:jc w:val="center"/>
                    <w:rPr>
                      <w:rFonts w:ascii="宋体" w:hAnsi="宋体" w:cs="宋体"/>
                      <w:color w:val="auto"/>
                      <w:sz w:val="15"/>
                      <w:szCs w:val="15"/>
                    </w:rPr>
                  </w:pPr>
                  <w:r>
                    <w:rPr>
                      <w:rFonts w:hint="eastAsia" w:ascii="宋体" w:hAnsi="宋体" w:cs="宋体"/>
                      <w:color w:val="auto"/>
                      <w:sz w:val="15"/>
                      <w:szCs w:val="15"/>
                    </w:rPr>
                    <w:t>≥5</w:t>
                  </w:r>
                </w:p>
              </w:tc>
              <w:tc>
                <w:tcPr>
                  <w:tcW w:w="389" w:type="dxa"/>
                </w:tcPr>
                <w:p>
                  <w:pPr>
                    <w:jc w:val="center"/>
                    <w:rPr>
                      <w:rFonts w:ascii="宋体" w:hAnsi="宋体" w:cs="宋体"/>
                      <w:color w:val="auto"/>
                      <w:sz w:val="15"/>
                      <w:szCs w:val="15"/>
                    </w:rPr>
                  </w:pPr>
                  <w:r>
                    <w:rPr>
                      <w:rFonts w:hint="eastAsia" w:ascii="宋体" w:hAnsi="宋体" w:cs="宋体"/>
                      <w:color w:val="auto"/>
                      <w:sz w:val="15"/>
                      <w:szCs w:val="15"/>
                    </w:rPr>
                    <w:t>1</w:t>
                  </w:r>
                </w:p>
              </w:tc>
              <w:tc>
                <w:tcPr>
                  <w:tcW w:w="416" w:type="dxa"/>
                </w:tcPr>
                <w:p>
                  <w:pPr>
                    <w:jc w:val="center"/>
                    <w:rPr>
                      <w:rFonts w:ascii="宋体" w:hAnsi="宋体" w:cs="宋体"/>
                      <w:color w:val="auto"/>
                      <w:sz w:val="15"/>
                      <w:szCs w:val="15"/>
                    </w:rPr>
                  </w:pPr>
                  <w:r>
                    <w:rPr>
                      <w:rFonts w:hint="eastAsia" w:ascii="宋体" w:hAnsi="宋体" w:cs="宋体"/>
                      <w:color w:val="auto"/>
                      <w:sz w:val="15"/>
                      <w:szCs w:val="15"/>
                    </w:rPr>
                    <w:t>21</w:t>
                  </w:r>
                </w:p>
              </w:tc>
            </w:tr>
          </w:tbl>
          <w:p>
            <w:pPr>
              <w:rPr>
                <w:rFonts w:ascii="宋体" w:hAnsi="宋体" w:cs="宋体"/>
                <w:color w:val="auto"/>
                <w:sz w:val="24"/>
              </w:rPr>
            </w:pPr>
            <w:r>
              <w:rPr>
                <w:rFonts w:hint="eastAsia" w:ascii="宋体" w:hAnsi="宋体" w:cs="宋体"/>
                <w:color w:val="auto"/>
                <w:sz w:val="24"/>
              </w:rPr>
              <w:t>★提供产品的3C认证证书。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19</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新购ABC灭火器</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3kg</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88</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具</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10</w:t>
            </w:r>
          </w:p>
        </w:tc>
        <w:tc>
          <w:tcPr>
            <w:tcW w:w="5939"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41"/>
              <w:gridCol w:w="657"/>
              <w:gridCol w:w="709"/>
              <w:gridCol w:w="709"/>
              <w:gridCol w:w="567"/>
              <w:gridCol w:w="709"/>
              <w:gridCol w:w="389"/>
              <w:gridCol w:w="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规格</w:t>
                  </w:r>
                </w:p>
              </w:tc>
              <w:tc>
                <w:tcPr>
                  <w:tcW w:w="741"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灭火剂重量Kg</w:t>
                  </w:r>
                </w:p>
              </w:tc>
              <w:tc>
                <w:tcPr>
                  <w:tcW w:w="657"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有效喷射时间S</w:t>
                  </w:r>
                </w:p>
              </w:tc>
              <w:tc>
                <w:tcPr>
                  <w:tcW w:w="709"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有效喷射距离m</w:t>
                  </w:r>
                </w:p>
              </w:tc>
              <w:tc>
                <w:tcPr>
                  <w:tcW w:w="709"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喷射滞后时间S</w:t>
                  </w:r>
                </w:p>
              </w:tc>
              <w:tc>
                <w:tcPr>
                  <w:tcW w:w="567"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喷射剩余率%</w:t>
                  </w:r>
                </w:p>
              </w:tc>
              <w:tc>
                <w:tcPr>
                  <w:tcW w:w="709"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电绝缘性KV</w:t>
                  </w:r>
                </w:p>
              </w:tc>
              <w:tc>
                <w:tcPr>
                  <w:tcW w:w="805" w:type="dxa"/>
                  <w:gridSpan w:val="2"/>
                  <w:vAlign w:val="center"/>
                </w:tcPr>
                <w:p>
                  <w:pPr>
                    <w:jc w:val="center"/>
                    <w:rPr>
                      <w:rFonts w:ascii="宋体" w:hAnsi="宋体" w:cs="宋体"/>
                      <w:color w:val="auto"/>
                      <w:sz w:val="15"/>
                      <w:szCs w:val="15"/>
                    </w:rPr>
                  </w:pPr>
                  <w:r>
                    <w:rPr>
                      <w:rFonts w:hint="eastAsia" w:ascii="宋体" w:hAnsi="宋体" w:cs="宋体"/>
                      <w:color w:val="auto"/>
                      <w:sz w:val="15"/>
                      <w:szCs w:val="15"/>
                    </w:rPr>
                    <w:t>灭火级别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vAlign w:val="center"/>
                </w:tcPr>
                <w:p>
                  <w:pPr>
                    <w:jc w:val="center"/>
                    <w:rPr>
                      <w:rFonts w:ascii="宋体" w:hAnsi="宋体" w:cs="宋体"/>
                      <w:color w:val="auto"/>
                      <w:sz w:val="15"/>
                      <w:szCs w:val="15"/>
                    </w:rPr>
                  </w:pPr>
                </w:p>
              </w:tc>
              <w:tc>
                <w:tcPr>
                  <w:tcW w:w="741" w:type="dxa"/>
                  <w:vMerge w:val="continue"/>
                  <w:vAlign w:val="center"/>
                </w:tcPr>
                <w:p>
                  <w:pPr>
                    <w:jc w:val="center"/>
                    <w:rPr>
                      <w:rFonts w:ascii="宋体" w:hAnsi="宋体" w:cs="宋体"/>
                      <w:color w:val="auto"/>
                      <w:sz w:val="15"/>
                      <w:szCs w:val="15"/>
                    </w:rPr>
                  </w:pPr>
                </w:p>
              </w:tc>
              <w:tc>
                <w:tcPr>
                  <w:tcW w:w="657" w:type="dxa"/>
                  <w:vMerge w:val="continue"/>
                  <w:vAlign w:val="center"/>
                </w:tcPr>
                <w:p>
                  <w:pPr>
                    <w:jc w:val="center"/>
                    <w:rPr>
                      <w:rFonts w:ascii="宋体" w:hAnsi="宋体" w:cs="宋体"/>
                      <w:color w:val="auto"/>
                      <w:sz w:val="15"/>
                      <w:szCs w:val="15"/>
                    </w:rPr>
                  </w:pPr>
                </w:p>
              </w:tc>
              <w:tc>
                <w:tcPr>
                  <w:tcW w:w="709" w:type="dxa"/>
                  <w:vMerge w:val="continue"/>
                  <w:vAlign w:val="center"/>
                </w:tcPr>
                <w:p>
                  <w:pPr>
                    <w:jc w:val="center"/>
                    <w:rPr>
                      <w:rFonts w:ascii="宋体" w:hAnsi="宋体" w:cs="宋体"/>
                      <w:color w:val="auto"/>
                      <w:sz w:val="15"/>
                      <w:szCs w:val="15"/>
                    </w:rPr>
                  </w:pPr>
                </w:p>
              </w:tc>
              <w:tc>
                <w:tcPr>
                  <w:tcW w:w="709" w:type="dxa"/>
                  <w:vMerge w:val="continue"/>
                  <w:vAlign w:val="center"/>
                </w:tcPr>
                <w:p>
                  <w:pPr>
                    <w:jc w:val="center"/>
                    <w:rPr>
                      <w:rFonts w:ascii="宋体" w:hAnsi="宋体" w:cs="宋体"/>
                      <w:color w:val="auto"/>
                      <w:sz w:val="15"/>
                      <w:szCs w:val="15"/>
                    </w:rPr>
                  </w:pPr>
                </w:p>
              </w:tc>
              <w:tc>
                <w:tcPr>
                  <w:tcW w:w="567" w:type="dxa"/>
                  <w:vMerge w:val="continue"/>
                  <w:vAlign w:val="center"/>
                </w:tcPr>
                <w:p>
                  <w:pPr>
                    <w:jc w:val="center"/>
                    <w:rPr>
                      <w:rFonts w:ascii="宋体" w:hAnsi="宋体" w:cs="宋体"/>
                      <w:color w:val="auto"/>
                      <w:sz w:val="15"/>
                      <w:szCs w:val="15"/>
                    </w:rPr>
                  </w:pPr>
                </w:p>
              </w:tc>
              <w:tc>
                <w:tcPr>
                  <w:tcW w:w="709" w:type="dxa"/>
                  <w:vMerge w:val="continue"/>
                  <w:vAlign w:val="center"/>
                </w:tcPr>
                <w:p>
                  <w:pPr>
                    <w:jc w:val="center"/>
                    <w:rPr>
                      <w:rFonts w:ascii="宋体" w:hAnsi="宋体" w:cs="宋体"/>
                      <w:color w:val="auto"/>
                      <w:sz w:val="15"/>
                      <w:szCs w:val="15"/>
                    </w:rPr>
                  </w:pPr>
                </w:p>
              </w:tc>
              <w:tc>
                <w:tcPr>
                  <w:tcW w:w="389" w:type="dxa"/>
                  <w:vAlign w:val="center"/>
                </w:tcPr>
                <w:p>
                  <w:pPr>
                    <w:jc w:val="center"/>
                    <w:rPr>
                      <w:rFonts w:ascii="宋体" w:hAnsi="宋体" w:cs="宋体"/>
                      <w:color w:val="auto"/>
                      <w:sz w:val="15"/>
                      <w:szCs w:val="15"/>
                    </w:rPr>
                  </w:pPr>
                  <w:r>
                    <w:rPr>
                      <w:rFonts w:hint="eastAsia" w:ascii="宋体" w:hAnsi="宋体" w:cs="宋体"/>
                      <w:color w:val="auto"/>
                      <w:sz w:val="15"/>
                      <w:szCs w:val="15"/>
                    </w:rPr>
                    <w:t>A</w:t>
                  </w:r>
                </w:p>
              </w:tc>
              <w:tc>
                <w:tcPr>
                  <w:tcW w:w="416" w:type="dxa"/>
                  <w:vAlign w:val="center"/>
                </w:tcPr>
                <w:p>
                  <w:pPr>
                    <w:jc w:val="center"/>
                    <w:rPr>
                      <w:rFonts w:ascii="宋体" w:hAnsi="宋体" w:cs="宋体"/>
                      <w:color w:val="auto"/>
                      <w:sz w:val="15"/>
                      <w:szCs w:val="15"/>
                    </w:rPr>
                  </w:pPr>
                  <w:r>
                    <w:rPr>
                      <w:rFonts w:hint="eastAsia" w:ascii="宋体" w:hAnsi="宋体" w:cs="宋体"/>
                      <w:color w:val="auto"/>
                      <w:sz w:val="15"/>
                      <w:szCs w:val="15"/>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s="宋体"/>
                      <w:color w:val="auto"/>
                      <w:sz w:val="15"/>
                      <w:szCs w:val="15"/>
                    </w:rPr>
                  </w:pPr>
                  <w:r>
                    <w:rPr>
                      <w:rFonts w:hint="eastAsia" w:ascii="宋体" w:hAnsi="宋体" w:cs="宋体"/>
                      <w:color w:val="auto"/>
                      <w:sz w:val="15"/>
                      <w:szCs w:val="15"/>
                    </w:rPr>
                    <w:t>MFZ/ABC3</w:t>
                  </w:r>
                </w:p>
              </w:tc>
              <w:tc>
                <w:tcPr>
                  <w:tcW w:w="741" w:type="dxa"/>
                </w:tcPr>
                <w:p>
                  <w:pPr>
                    <w:jc w:val="center"/>
                    <w:rPr>
                      <w:rFonts w:ascii="宋体" w:hAnsi="宋体" w:cs="宋体"/>
                      <w:color w:val="auto"/>
                      <w:sz w:val="15"/>
                      <w:szCs w:val="15"/>
                    </w:rPr>
                  </w:pPr>
                  <w:r>
                    <w:rPr>
                      <w:rFonts w:hint="eastAsia" w:ascii="宋体" w:hAnsi="宋体" w:cs="宋体"/>
                      <w:color w:val="auto"/>
                      <w:sz w:val="15"/>
                      <w:szCs w:val="15"/>
                    </w:rPr>
                    <w:t>3±0.09</w:t>
                  </w:r>
                </w:p>
              </w:tc>
              <w:tc>
                <w:tcPr>
                  <w:tcW w:w="657" w:type="dxa"/>
                </w:tcPr>
                <w:p>
                  <w:pPr>
                    <w:jc w:val="center"/>
                    <w:rPr>
                      <w:rFonts w:ascii="宋体" w:hAnsi="宋体" w:cs="宋体"/>
                      <w:color w:val="auto"/>
                      <w:sz w:val="15"/>
                      <w:szCs w:val="15"/>
                    </w:rPr>
                  </w:pPr>
                  <w:r>
                    <w:rPr>
                      <w:rFonts w:hint="eastAsia" w:ascii="宋体" w:hAnsi="宋体" w:cs="宋体"/>
                      <w:color w:val="auto"/>
                      <w:sz w:val="15"/>
                      <w:szCs w:val="15"/>
                    </w:rPr>
                    <w:t>≥13</w:t>
                  </w:r>
                </w:p>
              </w:tc>
              <w:tc>
                <w:tcPr>
                  <w:tcW w:w="709" w:type="dxa"/>
                </w:tcPr>
                <w:p>
                  <w:pPr>
                    <w:jc w:val="center"/>
                    <w:rPr>
                      <w:rFonts w:ascii="宋体" w:hAnsi="宋体" w:cs="宋体"/>
                      <w:color w:val="auto"/>
                      <w:sz w:val="15"/>
                      <w:szCs w:val="15"/>
                    </w:rPr>
                  </w:pPr>
                  <w:r>
                    <w:rPr>
                      <w:rFonts w:hint="eastAsia" w:ascii="宋体" w:hAnsi="宋体" w:cs="宋体"/>
                      <w:color w:val="auto"/>
                      <w:sz w:val="15"/>
                      <w:szCs w:val="15"/>
                    </w:rPr>
                    <w:t>≥3.5</w:t>
                  </w:r>
                </w:p>
              </w:tc>
              <w:tc>
                <w:tcPr>
                  <w:tcW w:w="709" w:type="dxa"/>
                  <w:vAlign w:val="center"/>
                </w:tcPr>
                <w:p>
                  <w:pPr>
                    <w:jc w:val="center"/>
                    <w:rPr>
                      <w:rFonts w:ascii="宋体" w:hAnsi="宋体" w:cs="宋体"/>
                      <w:color w:val="auto"/>
                      <w:sz w:val="15"/>
                      <w:szCs w:val="15"/>
                    </w:rPr>
                  </w:pPr>
                  <w:r>
                    <w:rPr>
                      <w:rFonts w:hint="eastAsia" w:ascii="宋体" w:hAnsi="宋体" w:cs="宋体"/>
                      <w:color w:val="auto"/>
                      <w:sz w:val="15"/>
                      <w:szCs w:val="15"/>
                    </w:rPr>
                    <w:t>≤5</w:t>
                  </w:r>
                </w:p>
              </w:tc>
              <w:tc>
                <w:tcPr>
                  <w:tcW w:w="567" w:type="dxa"/>
                  <w:vAlign w:val="center"/>
                </w:tcPr>
                <w:p>
                  <w:pPr>
                    <w:jc w:val="center"/>
                    <w:rPr>
                      <w:rFonts w:ascii="宋体" w:hAnsi="宋体" w:cs="宋体"/>
                      <w:color w:val="auto"/>
                      <w:sz w:val="15"/>
                      <w:szCs w:val="15"/>
                    </w:rPr>
                  </w:pPr>
                  <w:r>
                    <w:rPr>
                      <w:rFonts w:hint="eastAsia" w:ascii="宋体" w:hAnsi="宋体" w:cs="宋体"/>
                      <w:color w:val="auto"/>
                      <w:sz w:val="15"/>
                      <w:szCs w:val="15"/>
                    </w:rPr>
                    <w:t>≤15</w:t>
                  </w:r>
                </w:p>
              </w:tc>
              <w:tc>
                <w:tcPr>
                  <w:tcW w:w="709" w:type="dxa"/>
                  <w:vAlign w:val="center"/>
                </w:tcPr>
                <w:p>
                  <w:pPr>
                    <w:jc w:val="center"/>
                    <w:rPr>
                      <w:rFonts w:ascii="宋体" w:hAnsi="宋体" w:cs="宋体"/>
                      <w:color w:val="auto"/>
                      <w:sz w:val="15"/>
                      <w:szCs w:val="15"/>
                    </w:rPr>
                  </w:pPr>
                  <w:r>
                    <w:rPr>
                      <w:rFonts w:hint="eastAsia" w:ascii="宋体" w:hAnsi="宋体" w:cs="宋体"/>
                      <w:color w:val="auto"/>
                      <w:sz w:val="15"/>
                      <w:szCs w:val="15"/>
                    </w:rPr>
                    <w:t>≥5</w:t>
                  </w:r>
                </w:p>
              </w:tc>
              <w:tc>
                <w:tcPr>
                  <w:tcW w:w="389" w:type="dxa"/>
                </w:tcPr>
                <w:p>
                  <w:pPr>
                    <w:jc w:val="center"/>
                    <w:rPr>
                      <w:rFonts w:ascii="宋体" w:hAnsi="宋体" w:cs="宋体"/>
                      <w:color w:val="auto"/>
                      <w:sz w:val="15"/>
                      <w:szCs w:val="15"/>
                    </w:rPr>
                  </w:pPr>
                  <w:r>
                    <w:rPr>
                      <w:rFonts w:hint="eastAsia" w:ascii="宋体" w:hAnsi="宋体" w:cs="宋体"/>
                      <w:color w:val="auto"/>
                      <w:sz w:val="15"/>
                      <w:szCs w:val="15"/>
                    </w:rPr>
                    <w:t>1</w:t>
                  </w:r>
                </w:p>
              </w:tc>
              <w:tc>
                <w:tcPr>
                  <w:tcW w:w="416" w:type="dxa"/>
                </w:tcPr>
                <w:p>
                  <w:pPr>
                    <w:jc w:val="center"/>
                    <w:rPr>
                      <w:rFonts w:ascii="宋体" w:hAnsi="宋体" w:cs="宋体"/>
                      <w:color w:val="auto"/>
                      <w:sz w:val="15"/>
                      <w:szCs w:val="15"/>
                    </w:rPr>
                  </w:pPr>
                  <w:r>
                    <w:rPr>
                      <w:rFonts w:hint="eastAsia" w:ascii="宋体" w:hAnsi="宋体" w:cs="宋体"/>
                      <w:color w:val="auto"/>
                      <w:sz w:val="15"/>
                      <w:szCs w:val="15"/>
                    </w:rPr>
                    <w:t>21</w:t>
                  </w:r>
                </w:p>
              </w:tc>
            </w:tr>
          </w:tbl>
          <w:p>
            <w:pPr>
              <w:rPr>
                <w:rFonts w:ascii="宋体" w:hAnsi="宋体" w:cs="宋体"/>
                <w:color w:val="auto"/>
                <w:sz w:val="24"/>
              </w:rPr>
            </w:pPr>
            <w:r>
              <w:rPr>
                <w:rFonts w:hint="eastAsia" w:ascii="宋体" w:hAnsi="宋体" w:cs="宋体"/>
                <w:color w:val="auto"/>
                <w:sz w:val="24"/>
              </w:rPr>
              <w:t>★提供产品的3C认证证书。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20</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新购ABC灭火器</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5kg</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108</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具</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1260</w:t>
            </w:r>
          </w:p>
        </w:tc>
        <w:tc>
          <w:tcPr>
            <w:tcW w:w="5939"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tbl>
            <w:tblPr>
              <w:tblStyle w:val="40"/>
              <w:tblW w:w="5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41"/>
              <w:gridCol w:w="657"/>
              <w:gridCol w:w="709"/>
              <w:gridCol w:w="709"/>
              <w:gridCol w:w="567"/>
              <w:gridCol w:w="709"/>
              <w:gridCol w:w="389"/>
              <w:gridCol w:w="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规格</w:t>
                  </w:r>
                </w:p>
              </w:tc>
              <w:tc>
                <w:tcPr>
                  <w:tcW w:w="741"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灭火剂重量Kg</w:t>
                  </w:r>
                </w:p>
              </w:tc>
              <w:tc>
                <w:tcPr>
                  <w:tcW w:w="657"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有效喷射时间S</w:t>
                  </w:r>
                </w:p>
              </w:tc>
              <w:tc>
                <w:tcPr>
                  <w:tcW w:w="709"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有效喷射距离m</w:t>
                  </w:r>
                </w:p>
              </w:tc>
              <w:tc>
                <w:tcPr>
                  <w:tcW w:w="709"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喷射滞后时间S</w:t>
                  </w:r>
                </w:p>
              </w:tc>
              <w:tc>
                <w:tcPr>
                  <w:tcW w:w="567"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喷射剩余率%</w:t>
                  </w:r>
                </w:p>
              </w:tc>
              <w:tc>
                <w:tcPr>
                  <w:tcW w:w="709"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电绝缘性KV</w:t>
                  </w:r>
                </w:p>
              </w:tc>
              <w:tc>
                <w:tcPr>
                  <w:tcW w:w="805" w:type="dxa"/>
                  <w:gridSpan w:val="2"/>
                  <w:vAlign w:val="center"/>
                </w:tcPr>
                <w:p>
                  <w:pPr>
                    <w:jc w:val="center"/>
                    <w:rPr>
                      <w:rFonts w:ascii="宋体" w:hAnsi="宋体" w:cs="宋体"/>
                      <w:color w:val="auto"/>
                      <w:sz w:val="15"/>
                      <w:szCs w:val="15"/>
                    </w:rPr>
                  </w:pPr>
                  <w:r>
                    <w:rPr>
                      <w:rFonts w:hint="eastAsia" w:ascii="宋体" w:hAnsi="宋体" w:cs="宋体"/>
                      <w:color w:val="auto"/>
                      <w:sz w:val="15"/>
                      <w:szCs w:val="15"/>
                    </w:rPr>
                    <w:t>灭火级别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color w:val="auto"/>
                      <w:sz w:val="15"/>
                      <w:szCs w:val="15"/>
                    </w:rPr>
                  </w:pPr>
                </w:p>
              </w:tc>
              <w:tc>
                <w:tcPr>
                  <w:tcW w:w="741" w:type="dxa"/>
                  <w:vMerge w:val="continue"/>
                  <w:vAlign w:val="center"/>
                </w:tcPr>
                <w:p>
                  <w:pPr>
                    <w:jc w:val="center"/>
                    <w:rPr>
                      <w:rFonts w:ascii="宋体" w:hAnsi="宋体" w:cs="宋体"/>
                      <w:color w:val="auto"/>
                      <w:sz w:val="15"/>
                      <w:szCs w:val="15"/>
                    </w:rPr>
                  </w:pPr>
                </w:p>
              </w:tc>
              <w:tc>
                <w:tcPr>
                  <w:tcW w:w="657" w:type="dxa"/>
                  <w:vMerge w:val="continue"/>
                  <w:vAlign w:val="center"/>
                </w:tcPr>
                <w:p>
                  <w:pPr>
                    <w:jc w:val="center"/>
                    <w:rPr>
                      <w:rFonts w:ascii="宋体" w:hAnsi="宋体" w:cs="宋体"/>
                      <w:color w:val="auto"/>
                      <w:sz w:val="15"/>
                      <w:szCs w:val="15"/>
                    </w:rPr>
                  </w:pPr>
                </w:p>
              </w:tc>
              <w:tc>
                <w:tcPr>
                  <w:tcW w:w="709" w:type="dxa"/>
                  <w:vMerge w:val="continue"/>
                  <w:vAlign w:val="center"/>
                </w:tcPr>
                <w:p>
                  <w:pPr>
                    <w:jc w:val="center"/>
                    <w:rPr>
                      <w:rFonts w:ascii="宋体" w:hAnsi="宋体" w:cs="宋体"/>
                      <w:color w:val="auto"/>
                      <w:sz w:val="15"/>
                      <w:szCs w:val="15"/>
                    </w:rPr>
                  </w:pPr>
                </w:p>
              </w:tc>
              <w:tc>
                <w:tcPr>
                  <w:tcW w:w="709" w:type="dxa"/>
                  <w:vMerge w:val="continue"/>
                  <w:vAlign w:val="center"/>
                </w:tcPr>
                <w:p>
                  <w:pPr>
                    <w:jc w:val="center"/>
                    <w:rPr>
                      <w:rFonts w:ascii="宋体" w:hAnsi="宋体" w:cs="宋体"/>
                      <w:color w:val="auto"/>
                      <w:sz w:val="15"/>
                      <w:szCs w:val="15"/>
                    </w:rPr>
                  </w:pPr>
                </w:p>
              </w:tc>
              <w:tc>
                <w:tcPr>
                  <w:tcW w:w="567" w:type="dxa"/>
                  <w:vMerge w:val="continue"/>
                  <w:vAlign w:val="center"/>
                </w:tcPr>
                <w:p>
                  <w:pPr>
                    <w:jc w:val="center"/>
                    <w:rPr>
                      <w:rFonts w:ascii="宋体" w:hAnsi="宋体" w:cs="宋体"/>
                      <w:color w:val="auto"/>
                      <w:sz w:val="15"/>
                      <w:szCs w:val="15"/>
                    </w:rPr>
                  </w:pPr>
                </w:p>
              </w:tc>
              <w:tc>
                <w:tcPr>
                  <w:tcW w:w="709" w:type="dxa"/>
                  <w:vMerge w:val="continue"/>
                  <w:vAlign w:val="center"/>
                </w:tcPr>
                <w:p>
                  <w:pPr>
                    <w:jc w:val="center"/>
                    <w:rPr>
                      <w:rFonts w:ascii="宋体" w:hAnsi="宋体" w:cs="宋体"/>
                      <w:color w:val="auto"/>
                      <w:sz w:val="15"/>
                      <w:szCs w:val="15"/>
                    </w:rPr>
                  </w:pPr>
                </w:p>
              </w:tc>
              <w:tc>
                <w:tcPr>
                  <w:tcW w:w="389" w:type="dxa"/>
                  <w:vAlign w:val="center"/>
                </w:tcPr>
                <w:p>
                  <w:pPr>
                    <w:jc w:val="center"/>
                    <w:rPr>
                      <w:rFonts w:ascii="宋体" w:hAnsi="宋体" w:cs="宋体"/>
                      <w:color w:val="auto"/>
                      <w:sz w:val="15"/>
                      <w:szCs w:val="15"/>
                    </w:rPr>
                  </w:pPr>
                  <w:r>
                    <w:rPr>
                      <w:rFonts w:hint="eastAsia" w:ascii="宋体" w:hAnsi="宋体" w:cs="宋体"/>
                      <w:color w:val="auto"/>
                      <w:sz w:val="15"/>
                      <w:szCs w:val="15"/>
                    </w:rPr>
                    <w:t>A</w:t>
                  </w:r>
                </w:p>
              </w:tc>
              <w:tc>
                <w:tcPr>
                  <w:tcW w:w="416" w:type="dxa"/>
                  <w:vAlign w:val="center"/>
                </w:tcPr>
                <w:p>
                  <w:pPr>
                    <w:jc w:val="center"/>
                    <w:rPr>
                      <w:rFonts w:ascii="宋体" w:hAnsi="宋体" w:cs="宋体"/>
                      <w:color w:val="auto"/>
                      <w:sz w:val="15"/>
                      <w:szCs w:val="15"/>
                    </w:rPr>
                  </w:pPr>
                  <w:r>
                    <w:rPr>
                      <w:rFonts w:hint="eastAsia" w:ascii="宋体" w:hAnsi="宋体" w:cs="宋体"/>
                      <w:color w:val="auto"/>
                      <w:sz w:val="15"/>
                      <w:szCs w:val="15"/>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s="宋体"/>
                      <w:color w:val="auto"/>
                      <w:sz w:val="15"/>
                      <w:szCs w:val="15"/>
                    </w:rPr>
                  </w:pPr>
                  <w:r>
                    <w:rPr>
                      <w:rFonts w:hint="eastAsia" w:ascii="宋体" w:hAnsi="宋体" w:cs="宋体"/>
                      <w:color w:val="auto"/>
                      <w:sz w:val="15"/>
                      <w:szCs w:val="15"/>
                    </w:rPr>
                    <w:t>MFZ/ABC5</w:t>
                  </w:r>
                </w:p>
              </w:tc>
              <w:tc>
                <w:tcPr>
                  <w:tcW w:w="741" w:type="dxa"/>
                </w:tcPr>
                <w:p>
                  <w:pPr>
                    <w:jc w:val="center"/>
                    <w:rPr>
                      <w:rFonts w:ascii="宋体" w:hAnsi="宋体" w:cs="宋体"/>
                      <w:color w:val="auto"/>
                      <w:sz w:val="15"/>
                      <w:szCs w:val="15"/>
                    </w:rPr>
                  </w:pPr>
                  <w:r>
                    <w:rPr>
                      <w:rFonts w:hint="eastAsia" w:ascii="宋体" w:hAnsi="宋体" w:cs="宋体"/>
                      <w:color w:val="auto"/>
                      <w:sz w:val="15"/>
                      <w:szCs w:val="15"/>
                    </w:rPr>
                    <w:t>5±0.10</w:t>
                  </w:r>
                </w:p>
              </w:tc>
              <w:tc>
                <w:tcPr>
                  <w:tcW w:w="657" w:type="dxa"/>
                </w:tcPr>
                <w:p>
                  <w:pPr>
                    <w:jc w:val="center"/>
                    <w:rPr>
                      <w:rFonts w:ascii="宋体" w:hAnsi="宋体" w:cs="宋体"/>
                      <w:color w:val="auto"/>
                      <w:sz w:val="15"/>
                      <w:szCs w:val="15"/>
                    </w:rPr>
                  </w:pPr>
                  <w:r>
                    <w:rPr>
                      <w:rFonts w:hint="eastAsia" w:ascii="宋体" w:hAnsi="宋体" w:cs="宋体"/>
                      <w:color w:val="auto"/>
                      <w:sz w:val="15"/>
                      <w:szCs w:val="15"/>
                    </w:rPr>
                    <w:t>≥13</w:t>
                  </w:r>
                </w:p>
              </w:tc>
              <w:tc>
                <w:tcPr>
                  <w:tcW w:w="709" w:type="dxa"/>
                </w:tcPr>
                <w:p>
                  <w:pPr>
                    <w:jc w:val="center"/>
                    <w:rPr>
                      <w:rFonts w:ascii="宋体" w:hAnsi="宋体" w:cs="宋体"/>
                      <w:color w:val="auto"/>
                      <w:sz w:val="15"/>
                      <w:szCs w:val="15"/>
                    </w:rPr>
                  </w:pPr>
                  <w:r>
                    <w:rPr>
                      <w:rFonts w:hint="eastAsia" w:ascii="宋体" w:hAnsi="宋体" w:cs="宋体"/>
                      <w:color w:val="auto"/>
                      <w:sz w:val="15"/>
                      <w:szCs w:val="15"/>
                    </w:rPr>
                    <w:t>≥3.5</w:t>
                  </w:r>
                </w:p>
              </w:tc>
              <w:tc>
                <w:tcPr>
                  <w:tcW w:w="709" w:type="dxa"/>
                  <w:vAlign w:val="center"/>
                </w:tcPr>
                <w:p>
                  <w:pPr>
                    <w:jc w:val="center"/>
                    <w:rPr>
                      <w:rFonts w:ascii="宋体" w:hAnsi="宋体" w:cs="宋体"/>
                      <w:color w:val="auto"/>
                      <w:sz w:val="15"/>
                      <w:szCs w:val="15"/>
                    </w:rPr>
                  </w:pPr>
                  <w:r>
                    <w:rPr>
                      <w:rFonts w:hint="eastAsia" w:ascii="宋体" w:hAnsi="宋体" w:cs="宋体"/>
                      <w:color w:val="auto"/>
                      <w:sz w:val="15"/>
                      <w:szCs w:val="15"/>
                    </w:rPr>
                    <w:t>≤5</w:t>
                  </w:r>
                </w:p>
              </w:tc>
              <w:tc>
                <w:tcPr>
                  <w:tcW w:w="567" w:type="dxa"/>
                  <w:vAlign w:val="center"/>
                </w:tcPr>
                <w:p>
                  <w:pPr>
                    <w:jc w:val="center"/>
                    <w:rPr>
                      <w:rFonts w:ascii="宋体" w:hAnsi="宋体" w:cs="宋体"/>
                      <w:color w:val="auto"/>
                      <w:sz w:val="15"/>
                      <w:szCs w:val="15"/>
                    </w:rPr>
                  </w:pPr>
                  <w:r>
                    <w:rPr>
                      <w:rFonts w:hint="eastAsia" w:ascii="宋体" w:hAnsi="宋体" w:cs="宋体"/>
                      <w:color w:val="auto"/>
                      <w:sz w:val="15"/>
                      <w:szCs w:val="15"/>
                    </w:rPr>
                    <w:t>≤15</w:t>
                  </w:r>
                </w:p>
              </w:tc>
              <w:tc>
                <w:tcPr>
                  <w:tcW w:w="709" w:type="dxa"/>
                  <w:vAlign w:val="center"/>
                </w:tcPr>
                <w:p>
                  <w:pPr>
                    <w:jc w:val="center"/>
                    <w:rPr>
                      <w:rFonts w:ascii="宋体" w:hAnsi="宋体" w:cs="宋体"/>
                      <w:color w:val="auto"/>
                      <w:sz w:val="15"/>
                      <w:szCs w:val="15"/>
                    </w:rPr>
                  </w:pPr>
                  <w:r>
                    <w:rPr>
                      <w:rFonts w:hint="eastAsia" w:ascii="宋体" w:hAnsi="宋体" w:cs="宋体"/>
                      <w:color w:val="auto"/>
                      <w:sz w:val="15"/>
                      <w:szCs w:val="15"/>
                    </w:rPr>
                    <w:t>≥5</w:t>
                  </w:r>
                </w:p>
              </w:tc>
              <w:tc>
                <w:tcPr>
                  <w:tcW w:w="389" w:type="dxa"/>
                </w:tcPr>
                <w:p>
                  <w:pPr>
                    <w:jc w:val="center"/>
                    <w:rPr>
                      <w:rFonts w:ascii="宋体" w:hAnsi="宋体" w:cs="宋体"/>
                      <w:color w:val="auto"/>
                      <w:sz w:val="15"/>
                      <w:szCs w:val="15"/>
                    </w:rPr>
                  </w:pPr>
                  <w:r>
                    <w:rPr>
                      <w:rFonts w:hint="eastAsia" w:ascii="宋体" w:hAnsi="宋体" w:cs="宋体"/>
                      <w:color w:val="auto"/>
                      <w:sz w:val="15"/>
                      <w:szCs w:val="15"/>
                    </w:rPr>
                    <w:t>1</w:t>
                  </w:r>
                </w:p>
              </w:tc>
              <w:tc>
                <w:tcPr>
                  <w:tcW w:w="416" w:type="dxa"/>
                </w:tcPr>
                <w:p>
                  <w:pPr>
                    <w:jc w:val="center"/>
                    <w:rPr>
                      <w:rFonts w:ascii="宋体" w:hAnsi="宋体" w:cs="宋体"/>
                      <w:color w:val="auto"/>
                      <w:sz w:val="15"/>
                      <w:szCs w:val="15"/>
                    </w:rPr>
                  </w:pPr>
                  <w:r>
                    <w:rPr>
                      <w:rFonts w:hint="eastAsia" w:ascii="宋体" w:hAnsi="宋体" w:cs="宋体"/>
                      <w:color w:val="auto"/>
                      <w:sz w:val="15"/>
                      <w:szCs w:val="15"/>
                    </w:rPr>
                    <w:t>21</w:t>
                  </w:r>
                </w:p>
              </w:tc>
            </w:tr>
          </w:tbl>
          <w:p>
            <w:pPr>
              <w:rPr>
                <w:rFonts w:ascii="宋体" w:hAnsi="宋体" w:cs="宋体"/>
                <w:color w:val="auto"/>
                <w:sz w:val="24"/>
              </w:rPr>
            </w:pPr>
            <w:r>
              <w:rPr>
                <w:rFonts w:hint="eastAsia" w:ascii="宋体" w:hAnsi="宋体" w:cs="宋体"/>
                <w:color w:val="auto"/>
                <w:sz w:val="24"/>
              </w:rPr>
              <w:t>★提供产品的3C认证证书。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21</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新购二氧化碳灭火器</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2kg</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258</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具</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565</w:t>
            </w:r>
          </w:p>
        </w:tc>
        <w:tc>
          <w:tcPr>
            <w:tcW w:w="5939"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tbl>
            <w:tblPr>
              <w:tblStyle w:val="40"/>
              <w:tblW w:w="5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91"/>
              <w:gridCol w:w="720"/>
              <w:gridCol w:w="949"/>
              <w:gridCol w:w="656"/>
              <w:gridCol w:w="590"/>
              <w:gridCol w:w="545"/>
              <w:gridCol w:w="483"/>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84" w:type="dxa"/>
                  <w:tcBorders>
                    <w:bottom w:val="single" w:color="auto" w:sz="4" w:space="0"/>
                  </w:tcBorders>
                  <w:vAlign w:val="center"/>
                </w:tcPr>
                <w:p>
                  <w:pPr>
                    <w:jc w:val="center"/>
                    <w:rPr>
                      <w:rFonts w:ascii="宋体" w:hAnsi="宋体" w:cs="宋体"/>
                      <w:color w:val="auto"/>
                      <w:sz w:val="15"/>
                      <w:szCs w:val="15"/>
                    </w:rPr>
                  </w:pPr>
                  <w:r>
                    <w:rPr>
                      <w:rFonts w:hint="eastAsia" w:ascii="宋体" w:hAnsi="宋体" w:cs="宋体"/>
                      <w:color w:val="auto"/>
                      <w:sz w:val="15"/>
                      <w:szCs w:val="15"/>
                    </w:rPr>
                    <w:t>规格</w:t>
                  </w:r>
                </w:p>
              </w:tc>
              <w:tc>
                <w:tcPr>
                  <w:tcW w:w="1011" w:type="dxa"/>
                  <w:gridSpan w:val="2"/>
                  <w:vAlign w:val="center"/>
                </w:tcPr>
                <w:p>
                  <w:pPr>
                    <w:jc w:val="center"/>
                    <w:rPr>
                      <w:rFonts w:ascii="宋体" w:hAnsi="宋体" w:cs="宋体"/>
                      <w:color w:val="auto"/>
                      <w:sz w:val="15"/>
                      <w:szCs w:val="15"/>
                    </w:rPr>
                  </w:pPr>
                  <w:r>
                    <w:rPr>
                      <w:rFonts w:hint="eastAsia" w:ascii="宋体" w:hAnsi="宋体" w:cs="宋体"/>
                      <w:color w:val="auto"/>
                      <w:sz w:val="15"/>
                      <w:szCs w:val="15"/>
                    </w:rPr>
                    <w:t>灭火剂重量Kg</w:t>
                  </w:r>
                </w:p>
              </w:tc>
              <w:tc>
                <w:tcPr>
                  <w:tcW w:w="949" w:type="dxa"/>
                  <w:vAlign w:val="center"/>
                </w:tcPr>
                <w:p>
                  <w:pPr>
                    <w:jc w:val="center"/>
                    <w:rPr>
                      <w:rFonts w:ascii="宋体" w:hAnsi="宋体" w:cs="宋体"/>
                      <w:color w:val="auto"/>
                      <w:sz w:val="15"/>
                      <w:szCs w:val="15"/>
                    </w:rPr>
                  </w:pPr>
                  <w:r>
                    <w:rPr>
                      <w:rFonts w:hint="eastAsia" w:ascii="宋体" w:hAnsi="宋体" w:cs="宋体"/>
                      <w:color w:val="auto"/>
                      <w:sz w:val="15"/>
                      <w:szCs w:val="15"/>
                    </w:rPr>
                    <w:t>有效喷射时间S</w:t>
                  </w:r>
                </w:p>
              </w:tc>
              <w:tc>
                <w:tcPr>
                  <w:tcW w:w="656" w:type="dxa"/>
                  <w:vAlign w:val="center"/>
                </w:tcPr>
                <w:p>
                  <w:pPr>
                    <w:jc w:val="center"/>
                    <w:rPr>
                      <w:rFonts w:ascii="宋体" w:hAnsi="宋体" w:cs="宋体"/>
                      <w:color w:val="auto"/>
                      <w:sz w:val="15"/>
                      <w:szCs w:val="15"/>
                    </w:rPr>
                  </w:pPr>
                  <w:r>
                    <w:rPr>
                      <w:rFonts w:hint="eastAsia" w:ascii="宋体" w:hAnsi="宋体" w:cs="宋体"/>
                      <w:color w:val="auto"/>
                      <w:sz w:val="15"/>
                      <w:szCs w:val="15"/>
                    </w:rPr>
                    <w:t>有效喷射距离m</w:t>
                  </w:r>
                </w:p>
              </w:tc>
              <w:tc>
                <w:tcPr>
                  <w:tcW w:w="590" w:type="dxa"/>
                  <w:vAlign w:val="center"/>
                </w:tcPr>
                <w:p>
                  <w:pPr>
                    <w:jc w:val="center"/>
                    <w:rPr>
                      <w:rFonts w:ascii="宋体" w:hAnsi="宋体" w:cs="宋体"/>
                      <w:color w:val="auto"/>
                      <w:sz w:val="15"/>
                      <w:szCs w:val="15"/>
                    </w:rPr>
                  </w:pPr>
                  <w:r>
                    <w:rPr>
                      <w:rFonts w:hint="eastAsia" w:ascii="宋体" w:hAnsi="宋体" w:cs="宋体"/>
                      <w:color w:val="auto"/>
                      <w:sz w:val="15"/>
                      <w:szCs w:val="15"/>
                    </w:rPr>
                    <w:t>喷射滞后时间S</w:t>
                  </w:r>
                </w:p>
              </w:tc>
              <w:tc>
                <w:tcPr>
                  <w:tcW w:w="545" w:type="dxa"/>
                  <w:vAlign w:val="center"/>
                </w:tcPr>
                <w:p>
                  <w:pPr>
                    <w:jc w:val="center"/>
                    <w:rPr>
                      <w:rFonts w:ascii="宋体" w:hAnsi="宋体" w:cs="宋体"/>
                      <w:color w:val="auto"/>
                      <w:sz w:val="15"/>
                      <w:szCs w:val="15"/>
                    </w:rPr>
                  </w:pPr>
                  <w:r>
                    <w:rPr>
                      <w:rFonts w:hint="eastAsia" w:ascii="宋体" w:hAnsi="宋体" w:cs="宋体"/>
                      <w:color w:val="auto"/>
                      <w:sz w:val="15"/>
                      <w:szCs w:val="15"/>
                    </w:rPr>
                    <w:t>喷射剩余率%</w:t>
                  </w:r>
                </w:p>
              </w:tc>
              <w:tc>
                <w:tcPr>
                  <w:tcW w:w="483" w:type="dxa"/>
                  <w:vAlign w:val="center"/>
                </w:tcPr>
                <w:p>
                  <w:pPr>
                    <w:jc w:val="center"/>
                    <w:rPr>
                      <w:rFonts w:ascii="宋体" w:hAnsi="宋体" w:cs="宋体"/>
                      <w:color w:val="auto"/>
                      <w:sz w:val="15"/>
                      <w:szCs w:val="15"/>
                    </w:rPr>
                  </w:pPr>
                  <w:r>
                    <w:rPr>
                      <w:rFonts w:hint="eastAsia" w:ascii="宋体" w:hAnsi="宋体" w:cs="宋体"/>
                      <w:color w:val="auto"/>
                      <w:sz w:val="15"/>
                      <w:szCs w:val="15"/>
                    </w:rPr>
                    <w:t>灭火级别</w:t>
                  </w:r>
                </w:p>
              </w:tc>
              <w:tc>
                <w:tcPr>
                  <w:tcW w:w="784" w:type="dxa"/>
                  <w:vAlign w:val="center"/>
                </w:tcPr>
                <w:p>
                  <w:pPr>
                    <w:jc w:val="center"/>
                    <w:rPr>
                      <w:rFonts w:ascii="宋体" w:hAnsi="宋体" w:cs="宋体"/>
                      <w:color w:val="auto"/>
                      <w:sz w:val="15"/>
                      <w:szCs w:val="15"/>
                    </w:rPr>
                  </w:pPr>
                  <w:r>
                    <w:rPr>
                      <w:rFonts w:hint="eastAsia" w:ascii="宋体" w:hAnsi="宋体" w:cs="宋体"/>
                      <w:color w:val="auto"/>
                      <w:sz w:val="15"/>
                      <w:szCs w:val="15"/>
                    </w:rPr>
                    <w:t>使用温度范围</w:t>
                  </w:r>
                  <w:r>
                    <w:rPr>
                      <w:rFonts w:hint="eastAsia" w:ascii="宋体" w:hAnsi="宋体" w:cs="宋体"/>
                      <w:color w:val="auto"/>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right w:val="single" w:color="auto" w:sz="4" w:space="0"/>
                  </w:tcBorders>
                </w:tcPr>
                <w:p>
                  <w:pPr>
                    <w:jc w:val="center"/>
                    <w:rPr>
                      <w:rFonts w:ascii="宋体" w:hAnsi="宋体" w:cs="宋体"/>
                      <w:color w:val="auto"/>
                      <w:sz w:val="15"/>
                      <w:szCs w:val="15"/>
                    </w:rPr>
                  </w:pPr>
                  <w:r>
                    <w:rPr>
                      <w:rFonts w:hint="eastAsia" w:ascii="宋体" w:hAnsi="宋体" w:cs="宋体"/>
                      <w:color w:val="auto"/>
                      <w:sz w:val="15"/>
                      <w:szCs w:val="15"/>
                    </w:rPr>
                    <w:t>MT/2</w:t>
                  </w:r>
                </w:p>
              </w:tc>
              <w:tc>
                <w:tcPr>
                  <w:tcW w:w="291" w:type="dxa"/>
                  <w:tcBorders>
                    <w:top w:val="nil"/>
                    <w:left w:val="single" w:color="auto" w:sz="4" w:space="0"/>
                    <w:bottom w:val="single" w:color="auto" w:sz="4" w:space="0"/>
                    <w:right w:val="nil"/>
                  </w:tcBorders>
                  <w:vAlign w:val="center"/>
                </w:tcPr>
                <w:p>
                  <w:pPr>
                    <w:jc w:val="center"/>
                    <w:rPr>
                      <w:rFonts w:ascii="宋体" w:hAnsi="宋体" w:cs="宋体"/>
                      <w:color w:val="auto"/>
                      <w:sz w:val="15"/>
                      <w:szCs w:val="15"/>
                    </w:rPr>
                  </w:pPr>
                  <w:r>
                    <w:rPr>
                      <w:rFonts w:hint="eastAsia" w:ascii="宋体" w:hAnsi="宋体" w:cs="宋体"/>
                      <w:color w:val="auto"/>
                      <w:sz w:val="15"/>
                      <w:szCs w:val="15"/>
                    </w:rPr>
                    <w:t>2</w:t>
                  </w:r>
                </w:p>
              </w:tc>
              <w:tc>
                <w:tcPr>
                  <w:tcW w:w="720" w:type="dxa"/>
                  <w:tcBorders>
                    <w:left w:val="nil"/>
                  </w:tcBorders>
                </w:tcPr>
                <w:p>
                  <w:pPr>
                    <w:jc w:val="center"/>
                    <w:rPr>
                      <w:rFonts w:ascii="宋体" w:hAnsi="宋体" w:cs="宋体"/>
                      <w:color w:val="auto"/>
                      <w:sz w:val="15"/>
                      <w:szCs w:val="15"/>
                    </w:rPr>
                  </w:pPr>
                  <w:r>
                    <w:rPr>
                      <w:rFonts w:hint="eastAsia" w:ascii="宋体" w:hAnsi="宋体" w:cs="宋体"/>
                      <w:color w:val="auto"/>
                      <w:sz w:val="15"/>
                      <w:szCs w:val="15"/>
                    </w:rPr>
                    <w:t>0</w:t>
                  </w:r>
                </w:p>
                <w:p>
                  <w:pPr>
                    <w:jc w:val="center"/>
                    <w:rPr>
                      <w:rFonts w:ascii="宋体" w:hAnsi="宋体" w:cs="宋体"/>
                      <w:color w:val="auto"/>
                      <w:sz w:val="15"/>
                      <w:szCs w:val="15"/>
                    </w:rPr>
                  </w:pPr>
                  <w:r>
                    <w:rPr>
                      <w:rFonts w:hint="eastAsia" w:ascii="宋体" w:hAnsi="宋体" w:cs="宋体"/>
                      <w:color w:val="auto"/>
                      <w:sz w:val="15"/>
                      <w:szCs w:val="15"/>
                    </w:rPr>
                    <w:t>-0.10</w:t>
                  </w:r>
                </w:p>
              </w:tc>
              <w:tc>
                <w:tcPr>
                  <w:tcW w:w="949" w:type="dxa"/>
                  <w:vAlign w:val="center"/>
                </w:tcPr>
                <w:p>
                  <w:pPr>
                    <w:jc w:val="center"/>
                    <w:rPr>
                      <w:rFonts w:ascii="宋体" w:hAnsi="宋体" w:cs="宋体"/>
                      <w:color w:val="auto"/>
                      <w:sz w:val="15"/>
                      <w:szCs w:val="15"/>
                    </w:rPr>
                  </w:pPr>
                  <w:r>
                    <w:rPr>
                      <w:rFonts w:hint="eastAsia" w:ascii="宋体" w:hAnsi="宋体" w:cs="宋体"/>
                      <w:color w:val="auto"/>
                      <w:sz w:val="15"/>
                      <w:szCs w:val="15"/>
                    </w:rPr>
                    <w:t>≥8</w:t>
                  </w:r>
                </w:p>
              </w:tc>
              <w:tc>
                <w:tcPr>
                  <w:tcW w:w="656" w:type="dxa"/>
                  <w:vAlign w:val="center"/>
                </w:tcPr>
                <w:p>
                  <w:pPr>
                    <w:jc w:val="center"/>
                    <w:rPr>
                      <w:rFonts w:ascii="宋体" w:hAnsi="宋体" w:cs="宋体"/>
                      <w:color w:val="auto"/>
                      <w:sz w:val="15"/>
                      <w:szCs w:val="15"/>
                    </w:rPr>
                  </w:pPr>
                  <w:r>
                    <w:rPr>
                      <w:rFonts w:hint="eastAsia" w:ascii="宋体" w:hAnsi="宋体" w:cs="宋体"/>
                      <w:color w:val="auto"/>
                      <w:sz w:val="15"/>
                      <w:szCs w:val="15"/>
                    </w:rPr>
                    <w:t>≥2</w:t>
                  </w:r>
                </w:p>
              </w:tc>
              <w:tc>
                <w:tcPr>
                  <w:tcW w:w="590" w:type="dxa"/>
                  <w:vAlign w:val="center"/>
                </w:tcPr>
                <w:p>
                  <w:pPr>
                    <w:jc w:val="center"/>
                    <w:rPr>
                      <w:rFonts w:ascii="宋体" w:hAnsi="宋体" w:cs="宋体"/>
                      <w:color w:val="auto"/>
                      <w:sz w:val="15"/>
                      <w:szCs w:val="15"/>
                    </w:rPr>
                  </w:pPr>
                  <w:r>
                    <w:rPr>
                      <w:rFonts w:hint="eastAsia" w:ascii="宋体" w:hAnsi="宋体" w:cs="宋体"/>
                      <w:color w:val="auto"/>
                      <w:sz w:val="15"/>
                      <w:szCs w:val="15"/>
                    </w:rPr>
                    <w:t>≤5</w:t>
                  </w:r>
                </w:p>
              </w:tc>
              <w:tc>
                <w:tcPr>
                  <w:tcW w:w="545" w:type="dxa"/>
                  <w:vAlign w:val="center"/>
                </w:tcPr>
                <w:p>
                  <w:pPr>
                    <w:jc w:val="center"/>
                    <w:rPr>
                      <w:rFonts w:ascii="宋体" w:hAnsi="宋体" w:cs="宋体"/>
                      <w:color w:val="auto"/>
                      <w:sz w:val="15"/>
                      <w:szCs w:val="15"/>
                    </w:rPr>
                  </w:pPr>
                  <w:r>
                    <w:rPr>
                      <w:rFonts w:hint="eastAsia" w:ascii="宋体" w:hAnsi="宋体" w:cs="宋体"/>
                      <w:color w:val="auto"/>
                      <w:sz w:val="15"/>
                      <w:szCs w:val="15"/>
                    </w:rPr>
                    <w:t>≤10</w:t>
                  </w:r>
                </w:p>
              </w:tc>
              <w:tc>
                <w:tcPr>
                  <w:tcW w:w="483" w:type="dxa"/>
                  <w:vAlign w:val="center"/>
                </w:tcPr>
                <w:p>
                  <w:pPr>
                    <w:jc w:val="center"/>
                    <w:rPr>
                      <w:rFonts w:ascii="宋体" w:hAnsi="宋体" w:cs="宋体"/>
                      <w:color w:val="auto"/>
                      <w:sz w:val="15"/>
                      <w:szCs w:val="15"/>
                    </w:rPr>
                  </w:pPr>
                  <w:r>
                    <w:rPr>
                      <w:rFonts w:hint="eastAsia" w:ascii="宋体" w:hAnsi="宋体" w:cs="宋体"/>
                      <w:color w:val="auto"/>
                      <w:sz w:val="15"/>
                      <w:szCs w:val="15"/>
                    </w:rPr>
                    <w:t>21B</w:t>
                  </w:r>
                </w:p>
              </w:tc>
              <w:tc>
                <w:tcPr>
                  <w:tcW w:w="784" w:type="dxa"/>
                  <w:vAlign w:val="center"/>
                </w:tcPr>
                <w:p>
                  <w:pPr>
                    <w:jc w:val="center"/>
                    <w:rPr>
                      <w:rFonts w:ascii="宋体" w:hAnsi="宋体" w:cs="宋体"/>
                      <w:color w:val="auto"/>
                      <w:sz w:val="15"/>
                      <w:szCs w:val="15"/>
                    </w:rPr>
                  </w:pPr>
                  <w:r>
                    <w:rPr>
                      <w:rFonts w:hint="eastAsia" w:ascii="宋体" w:hAnsi="宋体" w:cs="宋体"/>
                      <w:color w:val="auto"/>
                      <w:sz w:val="15"/>
                      <w:szCs w:val="15"/>
                    </w:rPr>
                    <w:t>-10</w:t>
                  </w:r>
                  <w:r>
                    <w:rPr>
                      <w:rFonts w:hint="eastAsia" w:ascii="宋体" w:hAnsi="宋体" w:cs="宋体"/>
                      <w:color w:val="auto"/>
                      <w:sz w:val="15"/>
                      <w:szCs w:val="15"/>
                      <w:shd w:val="clear" w:color="auto" w:fill="FFFFFF"/>
                    </w:rPr>
                    <w:t>~+55</w:t>
                  </w:r>
                </w:p>
              </w:tc>
            </w:tr>
          </w:tbl>
          <w:p>
            <w:pPr>
              <w:rPr>
                <w:rFonts w:ascii="宋体" w:hAnsi="宋体" w:cs="宋体"/>
                <w:color w:val="auto"/>
                <w:sz w:val="24"/>
              </w:rPr>
            </w:pPr>
            <w:r>
              <w:rPr>
                <w:rFonts w:hint="eastAsia" w:ascii="宋体" w:hAnsi="宋体" w:cs="宋体"/>
                <w:color w:val="auto"/>
                <w:sz w:val="24"/>
              </w:rPr>
              <w:t>★提供产品的3C认证证书。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22</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新购二氧化碳灭火器</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5kg</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395</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具</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15</w:t>
            </w:r>
          </w:p>
        </w:tc>
        <w:tc>
          <w:tcPr>
            <w:tcW w:w="5939"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tbl>
            <w:tblPr>
              <w:tblStyle w:val="40"/>
              <w:tblW w:w="5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91"/>
              <w:gridCol w:w="720"/>
              <w:gridCol w:w="949"/>
              <w:gridCol w:w="656"/>
              <w:gridCol w:w="590"/>
              <w:gridCol w:w="545"/>
              <w:gridCol w:w="483"/>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684" w:type="dxa"/>
                  <w:tcBorders>
                    <w:bottom w:val="single" w:color="auto" w:sz="4" w:space="0"/>
                  </w:tcBorders>
                  <w:vAlign w:val="center"/>
                </w:tcPr>
                <w:p>
                  <w:pPr>
                    <w:jc w:val="center"/>
                    <w:rPr>
                      <w:rFonts w:ascii="宋体" w:hAnsi="宋体" w:cs="宋体"/>
                      <w:color w:val="auto"/>
                      <w:sz w:val="15"/>
                      <w:szCs w:val="15"/>
                    </w:rPr>
                  </w:pPr>
                  <w:r>
                    <w:rPr>
                      <w:rFonts w:hint="eastAsia" w:ascii="宋体" w:hAnsi="宋体" w:cs="宋体"/>
                      <w:color w:val="auto"/>
                      <w:sz w:val="15"/>
                      <w:szCs w:val="15"/>
                    </w:rPr>
                    <w:t>规格</w:t>
                  </w:r>
                </w:p>
              </w:tc>
              <w:tc>
                <w:tcPr>
                  <w:tcW w:w="1011" w:type="dxa"/>
                  <w:gridSpan w:val="2"/>
                  <w:vAlign w:val="center"/>
                </w:tcPr>
                <w:p>
                  <w:pPr>
                    <w:jc w:val="center"/>
                    <w:rPr>
                      <w:rFonts w:ascii="宋体" w:hAnsi="宋体" w:cs="宋体"/>
                      <w:color w:val="auto"/>
                      <w:sz w:val="15"/>
                      <w:szCs w:val="15"/>
                    </w:rPr>
                  </w:pPr>
                  <w:r>
                    <w:rPr>
                      <w:rFonts w:hint="eastAsia" w:ascii="宋体" w:hAnsi="宋体" w:cs="宋体"/>
                      <w:color w:val="auto"/>
                      <w:sz w:val="15"/>
                      <w:szCs w:val="15"/>
                    </w:rPr>
                    <w:t>灭火剂重量Kg</w:t>
                  </w:r>
                </w:p>
              </w:tc>
              <w:tc>
                <w:tcPr>
                  <w:tcW w:w="949" w:type="dxa"/>
                  <w:vAlign w:val="center"/>
                </w:tcPr>
                <w:p>
                  <w:pPr>
                    <w:jc w:val="center"/>
                    <w:rPr>
                      <w:rFonts w:ascii="宋体" w:hAnsi="宋体" w:cs="宋体"/>
                      <w:color w:val="auto"/>
                      <w:sz w:val="15"/>
                      <w:szCs w:val="15"/>
                    </w:rPr>
                  </w:pPr>
                  <w:r>
                    <w:rPr>
                      <w:rFonts w:hint="eastAsia" w:ascii="宋体" w:hAnsi="宋体" w:cs="宋体"/>
                      <w:color w:val="auto"/>
                      <w:sz w:val="15"/>
                      <w:szCs w:val="15"/>
                    </w:rPr>
                    <w:t>有效喷射时间S</w:t>
                  </w:r>
                </w:p>
              </w:tc>
              <w:tc>
                <w:tcPr>
                  <w:tcW w:w="656" w:type="dxa"/>
                  <w:vAlign w:val="center"/>
                </w:tcPr>
                <w:p>
                  <w:pPr>
                    <w:jc w:val="center"/>
                    <w:rPr>
                      <w:rFonts w:ascii="宋体" w:hAnsi="宋体" w:cs="宋体"/>
                      <w:color w:val="auto"/>
                      <w:sz w:val="15"/>
                      <w:szCs w:val="15"/>
                    </w:rPr>
                  </w:pPr>
                  <w:r>
                    <w:rPr>
                      <w:rFonts w:hint="eastAsia" w:ascii="宋体" w:hAnsi="宋体" w:cs="宋体"/>
                      <w:color w:val="auto"/>
                      <w:sz w:val="15"/>
                      <w:szCs w:val="15"/>
                    </w:rPr>
                    <w:t>有效喷射距离m</w:t>
                  </w:r>
                </w:p>
              </w:tc>
              <w:tc>
                <w:tcPr>
                  <w:tcW w:w="590" w:type="dxa"/>
                  <w:vAlign w:val="center"/>
                </w:tcPr>
                <w:p>
                  <w:pPr>
                    <w:jc w:val="center"/>
                    <w:rPr>
                      <w:rFonts w:ascii="宋体" w:hAnsi="宋体" w:cs="宋体"/>
                      <w:color w:val="auto"/>
                      <w:sz w:val="15"/>
                      <w:szCs w:val="15"/>
                    </w:rPr>
                  </w:pPr>
                  <w:r>
                    <w:rPr>
                      <w:rFonts w:hint="eastAsia" w:ascii="宋体" w:hAnsi="宋体" w:cs="宋体"/>
                      <w:color w:val="auto"/>
                      <w:sz w:val="15"/>
                      <w:szCs w:val="15"/>
                    </w:rPr>
                    <w:t>喷射滞后时间S</w:t>
                  </w:r>
                </w:p>
              </w:tc>
              <w:tc>
                <w:tcPr>
                  <w:tcW w:w="545" w:type="dxa"/>
                  <w:vAlign w:val="center"/>
                </w:tcPr>
                <w:p>
                  <w:pPr>
                    <w:jc w:val="center"/>
                    <w:rPr>
                      <w:rFonts w:ascii="宋体" w:hAnsi="宋体" w:cs="宋体"/>
                      <w:color w:val="auto"/>
                      <w:sz w:val="15"/>
                      <w:szCs w:val="15"/>
                    </w:rPr>
                  </w:pPr>
                  <w:r>
                    <w:rPr>
                      <w:rFonts w:hint="eastAsia" w:ascii="宋体" w:hAnsi="宋体" w:cs="宋体"/>
                      <w:color w:val="auto"/>
                      <w:sz w:val="15"/>
                      <w:szCs w:val="15"/>
                    </w:rPr>
                    <w:t>喷射剩余率%</w:t>
                  </w:r>
                </w:p>
              </w:tc>
              <w:tc>
                <w:tcPr>
                  <w:tcW w:w="483" w:type="dxa"/>
                  <w:vAlign w:val="center"/>
                </w:tcPr>
                <w:p>
                  <w:pPr>
                    <w:jc w:val="center"/>
                    <w:rPr>
                      <w:rFonts w:ascii="宋体" w:hAnsi="宋体" w:cs="宋体"/>
                      <w:color w:val="auto"/>
                      <w:sz w:val="15"/>
                      <w:szCs w:val="15"/>
                    </w:rPr>
                  </w:pPr>
                  <w:r>
                    <w:rPr>
                      <w:rFonts w:hint="eastAsia" w:ascii="宋体" w:hAnsi="宋体" w:cs="宋体"/>
                      <w:color w:val="auto"/>
                      <w:sz w:val="15"/>
                      <w:szCs w:val="15"/>
                    </w:rPr>
                    <w:t>灭火级别</w:t>
                  </w:r>
                </w:p>
              </w:tc>
              <w:tc>
                <w:tcPr>
                  <w:tcW w:w="784" w:type="dxa"/>
                  <w:vAlign w:val="center"/>
                </w:tcPr>
                <w:p>
                  <w:pPr>
                    <w:jc w:val="center"/>
                    <w:rPr>
                      <w:rFonts w:ascii="宋体" w:hAnsi="宋体" w:cs="宋体"/>
                      <w:color w:val="auto"/>
                      <w:sz w:val="15"/>
                      <w:szCs w:val="15"/>
                    </w:rPr>
                  </w:pPr>
                  <w:r>
                    <w:rPr>
                      <w:rFonts w:hint="eastAsia" w:ascii="宋体" w:hAnsi="宋体" w:cs="宋体"/>
                      <w:color w:val="auto"/>
                      <w:sz w:val="15"/>
                      <w:szCs w:val="15"/>
                    </w:rPr>
                    <w:t>使用温度范围</w:t>
                  </w:r>
                  <w:r>
                    <w:rPr>
                      <w:rFonts w:hint="eastAsia" w:ascii="宋体" w:hAnsi="宋体" w:cs="宋体"/>
                      <w:color w:val="auto"/>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right w:val="single" w:color="auto" w:sz="4" w:space="0"/>
                  </w:tcBorders>
                </w:tcPr>
                <w:p>
                  <w:pPr>
                    <w:jc w:val="center"/>
                    <w:rPr>
                      <w:rFonts w:ascii="宋体" w:hAnsi="宋体" w:cs="宋体"/>
                      <w:color w:val="auto"/>
                      <w:sz w:val="15"/>
                      <w:szCs w:val="15"/>
                    </w:rPr>
                  </w:pPr>
                  <w:r>
                    <w:rPr>
                      <w:rFonts w:hint="eastAsia" w:ascii="宋体" w:hAnsi="宋体" w:cs="宋体"/>
                      <w:color w:val="auto"/>
                      <w:sz w:val="15"/>
                      <w:szCs w:val="15"/>
                    </w:rPr>
                    <w:t>MT/5</w:t>
                  </w:r>
                </w:p>
              </w:tc>
              <w:tc>
                <w:tcPr>
                  <w:tcW w:w="291" w:type="dxa"/>
                  <w:tcBorders>
                    <w:top w:val="single" w:color="auto" w:sz="4" w:space="0"/>
                    <w:left w:val="single" w:color="auto" w:sz="4" w:space="0"/>
                    <w:bottom w:val="single" w:color="auto" w:sz="4" w:space="0"/>
                    <w:right w:val="nil"/>
                  </w:tcBorders>
                  <w:vAlign w:val="center"/>
                </w:tcPr>
                <w:p>
                  <w:pPr>
                    <w:jc w:val="center"/>
                    <w:rPr>
                      <w:rFonts w:ascii="宋体" w:hAnsi="宋体" w:cs="宋体"/>
                      <w:color w:val="auto"/>
                      <w:sz w:val="15"/>
                      <w:szCs w:val="15"/>
                    </w:rPr>
                  </w:pPr>
                  <w:r>
                    <w:rPr>
                      <w:rFonts w:hint="eastAsia" w:ascii="宋体" w:hAnsi="宋体" w:cs="宋体"/>
                      <w:color w:val="auto"/>
                      <w:sz w:val="15"/>
                      <w:szCs w:val="15"/>
                    </w:rPr>
                    <w:t>5</w:t>
                  </w:r>
                </w:p>
              </w:tc>
              <w:tc>
                <w:tcPr>
                  <w:tcW w:w="720" w:type="dxa"/>
                  <w:tcBorders>
                    <w:left w:val="nil"/>
                  </w:tcBorders>
                </w:tcPr>
                <w:p>
                  <w:pPr>
                    <w:jc w:val="center"/>
                    <w:rPr>
                      <w:rFonts w:ascii="宋体" w:hAnsi="宋体" w:cs="宋体"/>
                      <w:color w:val="auto"/>
                      <w:sz w:val="15"/>
                      <w:szCs w:val="15"/>
                    </w:rPr>
                  </w:pPr>
                  <w:r>
                    <w:rPr>
                      <w:rFonts w:hint="eastAsia" w:ascii="宋体" w:hAnsi="宋体" w:cs="宋体"/>
                      <w:color w:val="auto"/>
                      <w:sz w:val="15"/>
                      <w:szCs w:val="15"/>
                    </w:rPr>
                    <w:t>0</w:t>
                  </w:r>
                </w:p>
                <w:p>
                  <w:pPr>
                    <w:jc w:val="center"/>
                    <w:rPr>
                      <w:rFonts w:ascii="宋体" w:hAnsi="宋体" w:cs="宋体"/>
                      <w:color w:val="auto"/>
                      <w:sz w:val="15"/>
                      <w:szCs w:val="15"/>
                    </w:rPr>
                  </w:pPr>
                  <w:r>
                    <w:rPr>
                      <w:rFonts w:hint="eastAsia" w:ascii="宋体" w:hAnsi="宋体" w:cs="宋体"/>
                      <w:color w:val="auto"/>
                      <w:sz w:val="15"/>
                      <w:szCs w:val="15"/>
                    </w:rPr>
                    <w:t>-0.25</w:t>
                  </w:r>
                </w:p>
              </w:tc>
              <w:tc>
                <w:tcPr>
                  <w:tcW w:w="949" w:type="dxa"/>
                  <w:vAlign w:val="center"/>
                </w:tcPr>
                <w:p>
                  <w:pPr>
                    <w:jc w:val="center"/>
                    <w:rPr>
                      <w:rFonts w:ascii="宋体" w:hAnsi="宋体" w:cs="宋体"/>
                      <w:color w:val="auto"/>
                      <w:sz w:val="15"/>
                      <w:szCs w:val="15"/>
                    </w:rPr>
                  </w:pPr>
                  <w:r>
                    <w:rPr>
                      <w:rFonts w:hint="eastAsia" w:ascii="宋体" w:hAnsi="宋体" w:cs="宋体"/>
                      <w:color w:val="auto"/>
                      <w:sz w:val="15"/>
                      <w:szCs w:val="15"/>
                    </w:rPr>
                    <w:t>≥8</w:t>
                  </w:r>
                </w:p>
              </w:tc>
              <w:tc>
                <w:tcPr>
                  <w:tcW w:w="656" w:type="dxa"/>
                  <w:vAlign w:val="center"/>
                </w:tcPr>
                <w:p>
                  <w:pPr>
                    <w:jc w:val="center"/>
                    <w:rPr>
                      <w:rFonts w:ascii="宋体" w:hAnsi="宋体" w:cs="宋体"/>
                      <w:color w:val="auto"/>
                      <w:sz w:val="15"/>
                      <w:szCs w:val="15"/>
                    </w:rPr>
                  </w:pPr>
                  <w:r>
                    <w:rPr>
                      <w:rFonts w:hint="eastAsia" w:ascii="宋体" w:hAnsi="宋体" w:cs="宋体"/>
                      <w:color w:val="auto"/>
                      <w:sz w:val="15"/>
                      <w:szCs w:val="15"/>
                    </w:rPr>
                    <w:t>≥2.5</w:t>
                  </w:r>
                </w:p>
              </w:tc>
              <w:tc>
                <w:tcPr>
                  <w:tcW w:w="590" w:type="dxa"/>
                  <w:vAlign w:val="center"/>
                </w:tcPr>
                <w:p>
                  <w:pPr>
                    <w:jc w:val="center"/>
                    <w:rPr>
                      <w:rFonts w:ascii="宋体" w:hAnsi="宋体" w:cs="宋体"/>
                      <w:color w:val="auto"/>
                      <w:sz w:val="15"/>
                      <w:szCs w:val="15"/>
                    </w:rPr>
                  </w:pPr>
                  <w:r>
                    <w:rPr>
                      <w:rFonts w:hint="eastAsia" w:ascii="宋体" w:hAnsi="宋体" w:cs="宋体"/>
                      <w:color w:val="auto"/>
                      <w:sz w:val="15"/>
                      <w:szCs w:val="15"/>
                    </w:rPr>
                    <w:t>≤5</w:t>
                  </w:r>
                </w:p>
              </w:tc>
              <w:tc>
                <w:tcPr>
                  <w:tcW w:w="545" w:type="dxa"/>
                  <w:vAlign w:val="center"/>
                </w:tcPr>
                <w:p>
                  <w:pPr>
                    <w:jc w:val="center"/>
                    <w:rPr>
                      <w:rFonts w:ascii="宋体" w:hAnsi="宋体" w:cs="宋体"/>
                      <w:color w:val="auto"/>
                      <w:sz w:val="15"/>
                      <w:szCs w:val="15"/>
                    </w:rPr>
                  </w:pPr>
                  <w:r>
                    <w:rPr>
                      <w:rFonts w:hint="eastAsia" w:ascii="宋体" w:hAnsi="宋体" w:cs="宋体"/>
                      <w:color w:val="auto"/>
                      <w:sz w:val="15"/>
                      <w:szCs w:val="15"/>
                    </w:rPr>
                    <w:t>≤10</w:t>
                  </w:r>
                </w:p>
              </w:tc>
              <w:tc>
                <w:tcPr>
                  <w:tcW w:w="483" w:type="dxa"/>
                  <w:vAlign w:val="center"/>
                </w:tcPr>
                <w:p>
                  <w:pPr>
                    <w:jc w:val="center"/>
                    <w:rPr>
                      <w:rFonts w:ascii="宋体" w:hAnsi="宋体" w:cs="宋体"/>
                      <w:color w:val="auto"/>
                      <w:sz w:val="15"/>
                      <w:szCs w:val="15"/>
                    </w:rPr>
                  </w:pPr>
                  <w:r>
                    <w:rPr>
                      <w:rFonts w:hint="eastAsia" w:ascii="宋体" w:hAnsi="宋体" w:cs="宋体"/>
                      <w:color w:val="auto"/>
                      <w:sz w:val="15"/>
                      <w:szCs w:val="15"/>
                    </w:rPr>
                    <w:t>34B</w:t>
                  </w:r>
                </w:p>
              </w:tc>
              <w:tc>
                <w:tcPr>
                  <w:tcW w:w="784" w:type="dxa"/>
                  <w:vAlign w:val="center"/>
                </w:tcPr>
                <w:p>
                  <w:pPr>
                    <w:jc w:val="center"/>
                    <w:rPr>
                      <w:rFonts w:ascii="宋体" w:hAnsi="宋体" w:cs="宋体"/>
                      <w:color w:val="auto"/>
                      <w:sz w:val="15"/>
                      <w:szCs w:val="15"/>
                    </w:rPr>
                  </w:pPr>
                  <w:r>
                    <w:rPr>
                      <w:rFonts w:hint="eastAsia" w:ascii="宋体" w:hAnsi="宋体" w:cs="宋体"/>
                      <w:color w:val="auto"/>
                      <w:sz w:val="15"/>
                      <w:szCs w:val="15"/>
                    </w:rPr>
                    <w:t>-10</w:t>
                  </w:r>
                  <w:r>
                    <w:rPr>
                      <w:rFonts w:hint="eastAsia" w:ascii="宋体" w:hAnsi="宋体" w:cs="宋体"/>
                      <w:color w:val="auto"/>
                      <w:sz w:val="15"/>
                      <w:szCs w:val="15"/>
                      <w:shd w:val="clear" w:color="auto" w:fill="FFFFFF"/>
                    </w:rPr>
                    <w:t>~+55</w:t>
                  </w:r>
                </w:p>
              </w:tc>
            </w:tr>
          </w:tbl>
          <w:p>
            <w:pPr>
              <w:rPr>
                <w:rFonts w:ascii="宋体" w:hAnsi="宋体" w:cs="宋体"/>
                <w:color w:val="auto"/>
                <w:sz w:val="24"/>
              </w:rPr>
            </w:pPr>
            <w:r>
              <w:rPr>
                <w:rFonts w:hint="eastAsia" w:ascii="宋体" w:hAnsi="宋体" w:cs="宋体"/>
                <w:color w:val="auto"/>
                <w:sz w:val="24"/>
              </w:rPr>
              <w:t>★提供产品的3C认证证书。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color w:val="auto"/>
                <w:sz w:val="24"/>
              </w:rPr>
            </w:pPr>
            <w:r>
              <w:rPr>
                <w:rFonts w:hint="eastAsia" w:ascii="宋体" w:hAnsi="宋体" w:cs="宋体"/>
                <w:color w:val="auto"/>
                <w:sz w:val="24"/>
              </w:rPr>
              <w:t>23</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color w:val="auto"/>
                <w:sz w:val="24"/>
              </w:rPr>
            </w:pPr>
            <w:r>
              <w:rPr>
                <w:rFonts w:hint="eastAsia" w:ascii="宋体" w:hAnsi="宋体" w:cs="宋体"/>
                <w:color w:val="auto"/>
                <w:sz w:val="24"/>
              </w:rPr>
              <w:t>新购消防水带（含接口）</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color w:val="auto"/>
                <w:sz w:val="24"/>
              </w:rPr>
            </w:pPr>
            <w:r>
              <w:rPr>
                <w:rFonts w:hint="eastAsia" w:ascii="宋体" w:hAnsi="宋体" w:cs="宋体"/>
                <w:color w:val="auto"/>
                <w:sz w:val="24"/>
              </w:rPr>
              <w:t>10型DN65*25m</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color w:val="auto"/>
                <w:sz w:val="24"/>
              </w:rPr>
            </w:pPr>
            <w:r>
              <w:rPr>
                <w:rFonts w:hint="eastAsia" w:ascii="宋体" w:hAnsi="宋体" w:cs="宋体"/>
                <w:color w:val="auto"/>
                <w:sz w:val="24"/>
              </w:rPr>
              <w:t>325</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color w:val="auto"/>
                <w:sz w:val="24"/>
              </w:rPr>
            </w:pPr>
            <w:r>
              <w:rPr>
                <w:rFonts w:hint="eastAsia" w:ascii="宋体" w:hAnsi="宋体" w:cs="宋体"/>
                <w:color w:val="auto"/>
                <w:sz w:val="24"/>
              </w:rPr>
              <w:t>套</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color w:val="auto"/>
                <w:sz w:val="24"/>
              </w:rPr>
            </w:pPr>
            <w:r>
              <w:rPr>
                <w:rFonts w:hint="eastAsia" w:ascii="宋体" w:hAnsi="宋体" w:cs="宋体"/>
                <w:color w:val="auto"/>
                <w:sz w:val="24"/>
              </w:rPr>
              <w:t>220</w:t>
            </w:r>
          </w:p>
        </w:tc>
        <w:tc>
          <w:tcPr>
            <w:tcW w:w="5939"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color w:val="auto"/>
                <w:szCs w:val="20"/>
              </w:rPr>
            </w:pPr>
            <w:r>
              <w:rPr>
                <w:rFonts w:hint="eastAsia" w:ascii="宋体" w:hAnsi="宋体" w:cs="宋体"/>
                <w:color w:val="auto"/>
                <w:sz w:val="24"/>
              </w:rPr>
              <w:t>水龙带长度25m、承受最大压力≥10kg/cm＾2、水龙带公称直径是65mm</w:t>
            </w:r>
            <w:r>
              <w:rPr>
                <w:rFonts w:hint="eastAsia" w:ascii="宋体" w:hAnsi="宋体" w:cs="宋体"/>
                <w:color w:val="auto"/>
                <w:sz w:val="24"/>
                <w:lang w:eastAsia="zh-CN"/>
              </w:rPr>
              <w:t>，</w:t>
            </w:r>
            <w:r>
              <w:rPr>
                <w:rFonts w:hint="eastAsia" w:ascii="宋体" w:hAnsi="宋体" w:cs="宋体"/>
                <w:color w:val="auto"/>
                <w:sz w:val="24"/>
                <w:lang w:val="en-US" w:eastAsia="zh-CN"/>
              </w:rPr>
              <w:t>内扣式接口</w:t>
            </w:r>
            <w:r>
              <w:rPr>
                <w:rFonts w:hint="eastAsia" w:ascii="宋体" w:hAnsi="宋体" w:cs="宋体"/>
                <w:color w:val="auto"/>
                <w:sz w:val="24"/>
              </w:rPr>
              <w:t>。</w:t>
            </w:r>
          </w:p>
          <w:p>
            <w:pPr>
              <w:rPr>
                <w:rFonts w:eastAsia="微软雅黑"/>
                <w:color w:val="auto"/>
                <w:szCs w:val="20"/>
              </w:rPr>
            </w:pPr>
            <w:r>
              <w:rPr>
                <w:rFonts w:hint="eastAsia" w:ascii="宋体" w:hAnsi="宋体" w:cs="宋体"/>
                <w:color w:val="auto"/>
                <w:sz w:val="24"/>
              </w:rPr>
              <w:t>提供消防产品认证证书</w:t>
            </w:r>
            <w:r>
              <w:rPr>
                <w:rStyle w:val="44"/>
                <w:rFonts w:hint="eastAsia" w:ascii="宋体" w:hAnsi="宋体" w:cs="宋体"/>
                <w:b w:val="0"/>
                <w:bCs w:val="0"/>
                <w:color w:val="auto"/>
                <w:sz w:val="24"/>
                <w:shd w:val="clear" w:color="auto" w:fill="FEFEF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80"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color w:val="auto"/>
                <w:sz w:val="24"/>
              </w:rPr>
            </w:pPr>
            <w:r>
              <w:rPr>
                <w:rFonts w:hint="eastAsia" w:ascii="宋体" w:hAnsi="宋体" w:cs="宋体"/>
                <w:color w:val="auto"/>
                <w:sz w:val="24"/>
              </w:rPr>
              <w:t>24</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color w:val="auto"/>
                <w:sz w:val="24"/>
              </w:rPr>
            </w:pPr>
            <w:r>
              <w:rPr>
                <w:rFonts w:hint="eastAsia" w:ascii="宋体" w:hAnsi="宋体" w:cs="宋体"/>
                <w:color w:val="auto"/>
                <w:sz w:val="24"/>
              </w:rPr>
              <w:t>新购室外地下消火栓</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color w:val="auto"/>
                <w:sz w:val="24"/>
              </w:rPr>
            </w:pPr>
            <w:r>
              <w:rPr>
                <w:rFonts w:hint="eastAsia" w:ascii="宋体" w:hAnsi="宋体" w:cs="宋体"/>
                <w:color w:val="auto"/>
                <w:sz w:val="24"/>
              </w:rPr>
              <w:t>DN100/DN65</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color w:val="auto"/>
                <w:sz w:val="24"/>
              </w:rPr>
            </w:pPr>
            <w:r>
              <w:rPr>
                <w:rFonts w:hint="eastAsia" w:ascii="宋体" w:hAnsi="宋体" w:cs="宋体"/>
                <w:color w:val="auto"/>
                <w:sz w:val="24"/>
              </w:rPr>
              <w:t>980</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color w:val="auto"/>
                <w:sz w:val="24"/>
              </w:rPr>
            </w:pPr>
            <w:r>
              <w:rPr>
                <w:rFonts w:hint="eastAsia" w:ascii="宋体" w:hAnsi="宋体" w:cs="宋体"/>
                <w:color w:val="auto"/>
                <w:sz w:val="24"/>
              </w:rPr>
              <w:t>台</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color w:val="auto"/>
                <w:sz w:val="24"/>
              </w:rPr>
            </w:pPr>
            <w:r>
              <w:rPr>
                <w:rFonts w:hint="eastAsia" w:ascii="宋体" w:hAnsi="宋体" w:cs="宋体"/>
                <w:color w:val="auto"/>
                <w:sz w:val="24"/>
              </w:rPr>
              <w:t>5</w:t>
            </w:r>
          </w:p>
        </w:tc>
        <w:tc>
          <w:tcPr>
            <w:tcW w:w="5939"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529"/>
              <w:gridCol w:w="666"/>
              <w:gridCol w:w="684"/>
              <w:gridCol w:w="814"/>
              <w:gridCol w:w="709"/>
              <w:gridCol w:w="706"/>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40"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进水口公称通径</w:t>
                  </w:r>
                </w:p>
                <w:p>
                  <w:pPr>
                    <w:jc w:val="center"/>
                    <w:rPr>
                      <w:rFonts w:ascii="宋体" w:hAnsi="宋体" w:cs="宋体"/>
                      <w:color w:val="auto"/>
                      <w:sz w:val="15"/>
                      <w:szCs w:val="15"/>
                    </w:rPr>
                  </w:pPr>
                  <w:r>
                    <w:rPr>
                      <w:rFonts w:hint="eastAsia" w:ascii="宋体" w:hAnsi="宋体" w:cs="宋体"/>
                      <w:color w:val="auto"/>
                      <w:sz w:val="15"/>
                      <w:szCs w:val="15"/>
                    </w:rPr>
                    <w:t>DN</w:t>
                  </w:r>
                </w:p>
              </w:tc>
              <w:tc>
                <w:tcPr>
                  <w:tcW w:w="1195" w:type="dxa"/>
                  <w:gridSpan w:val="2"/>
                  <w:vAlign w:val="center"/>
                </w:tcPr>
                <w:p>
                  <w:pPr>
                    <w:jc w:val="center"/>
                    <w:rPr>
                      <w:rFonts w:ascii="宋体" w:hAnsi="宋体" w:cs="宋体"/>
                      <w:color w:val="auto"/>
                      <w:sz w:val="15"/>
                      <w:szCs w:val="15"/>
                    </w:rPr>
                  </w:pPr>
                  <w:r>
                    <w:rPr>
                      <w:rFonts w:hint="eastAsia" w:ascii="宋体" w:hAnsi="宋体" w:cs="宋体"/>
                      <w:color w:val="auto"/>
                      <w:sz w:val="15"/>
                      <w:szCs w:val="15"/>
                    </w:rPr>
                    <w:t>法兰外径D</w:t>
                  </w:r>
                </w:p>
              </w:tc>
              <w:tc>
                <w:tcPr>
                  <w:tcW w:w="1498" w:type="dxa"/>
                  <w:gridSpan w:val="2"/>
                  <w:vAlign w:val="center"/>
                </w:tcPr>
                <w:p>
                  <w:pPr>
                    <w:jc w:val="center"/>
                    <w:rPr>
                      <w:rFonts w:ascii="宋体" w:hAnsi="宋体" w:cs="宋体"/>
                      <w:color w:val="auto"/>
                      <w:sz w:val="15"/>
                      <w:szCs w:val="15"/>
                    </w:rPr>
                  </w:pPr>
                  <w:r>
                    <w:rPr>
                      <w:rFonts w:hint="eastAsia" w:ascii="宋体" w:hAnsi="宋体" w:cs="宋体"/>
                      <w:color w:val="auto"/>
                      <w:sz w:val="15"/>
                      <w:szCs w:val="15"/>
                    </w:rPr>
                    <w:t>螺栓孔中心圆直径D</w:t>
                  </w:r>
                  <w:r>
                    <w:rPr>
                      <w:rFonts w:hint="eastAsia" w:ascii="宋体" w:hAnsi="宋体" w:cs="宋体"/>
                      <w:color w:val="auto"/>
                      <w:sz w:val="15"/>
                      <w:szCs w:val="15"/>
                      <w:vertAlign w:val="subscript"/>
                    </w:rPr>
                    <w:t>1</w:t>
                  </w:r>
                </w:p>
              </w:tc>
              <w:tc>
                <w:tcPr>
                  <w:tcW w:w="1415" w:type="dxa"/>
                  <w:gridSpan w:val="2"/>
                  <w:vAlign w:val="center"/>
                </w:tcPr>
                <w:p>
                  <w:pPr>
                    <w:jc w:val="center"/>
                    <w:rPr>
                      <w:rFonts w:ascii="宋体" w:hAnsi="宋体" w:cs="宋体"/>
                      <w:color w:val="auto"/>
                      <w:sz w:val="15"/>
                      <w:szCs w:val="15"/>
                    </w:rPr>
                  </w:pPr>
                  <w:r>
                    <w:rPr>
                      <w:rFonts w:hint="eastAsia" w:ascii="宋体" w:hAnsi="宋体" w:cs="宋体"/>
                      <w:color w:val="auto"/>
                      <w:sz w:val="15"/>
                      <w:szCs w:val="15"/>
                    </w:rPr>
                    <w:t>螺栓孔直径</w:t>
                  </w:r>
                </w:p>
                <w:p>
                  <w:pPr>
                    <w:jc w:val="center"/>
                    <w:rPr>
                      <w:rFonts w:ascii="宋体" w:hAnsi="宋体" w:cs="宋体"/>
                      <w:color w:val="auto"/>
                      <w:sz w:val="15"/>
                      <w:szCs w:val="15"/>
                    </w:rPr>
                  </w:pPr>
                  <w:r>
                    <w:rPr>
                      <w:rFonts w:hint="eastAsia" w:ascii="宋体" w:hAnsi="宋体" w:cs="宋体"/>
                      <w:color w:val="auto"/>
                      <w:sz w:val="15"/>
                      <w:szCs w:val="15"/>
                    </w:rPr>
                    <w:t>D</w:t>
                  </w:r>
                  <w:r>
                    <w:rPr>
                      <w:rFonts w:hint="eastAsia" w:ascii="宋体" w:hAnsi="宋体" w:cs="宋体"/>
                      <w:color w:val="auto"/>
                      <w:sz w:val="15"/>
                      <w:szCs w:val="15"/>
                      <w:vertAlign w:val="subscript"/>
                    </w:rPr>
                    <w:t>0</w:t>
                  </w:r>
                </w:p>
              </w:tc>
              <w:tc>
                <w:tcPr>
                  <w:tcW w:w="666" w:type="dxa"/>
                  <w:vMerge w:val="restart"/>
                  <w:vAlign w:val="center"/>
                </w:tcPr>
                <w:p>
                  <w:pPr>
                    <w:jc w:val="center"/>
                    <w:rPr>
                      <w:rFonts w:ascii="宋体" w:hAnsi="宋体" w:cs="宋体"/>
                      <w:color w:val="auto"/>
                      <w:sz w:val="15"/>
                      <w:szCs w:val="15"/>
                    </w:rPr>
                  </w:pPr>
                  <w:r>
                    <w:rPr>
                      <w:rFonts w:hint="eastAsia" w:ascii="宋体" w:hAnsi="宋体" w:cs="宋体"/>
                      <w:color w:val="auto"/>
                      <w:sz w:val="15"/>
                      <w:szCs w:val="15"/>
                    </w:rPr>
                    <w:t>螺栓数 n（个）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40" w:type="dxa"/>
                  <w:vMerge w:val="continue"/>
                  <w:vAlign w:val="center"/>
                </w:tcPr>
                <w:p>
                  <w:pPr>
                    <w:jc w:val="center"/>
                    <w:rPr>
                      <w:rFonts w:ascii="宋体" w:hAnsi="宋体" w:cs="宋体"/>
                      <w:color w:val="auto"/>
                      <w:sz w:val="15"/>
                      <w:szCs w:val="15"/>
                    </w:rPr>
                  </w:pPr>
                </w:p>
              </w:tc>
              <w:tc>
                <w:tcPr>
                  <w:tcW w:w="529" w:type="dxa"/>
                  <w:vAlign w:val="center"/>
                </w:tcPr>
                <w:p>
                  <w:pPr>
                    <w:jc w:val="center"/>
                    <w:rPr>
                      <w:rFonts w:ascii="宋体" w:hAnsi="宋体" w:cs="宋体"/>
                      <w:color w:val="auto"/>
                      <w:sz w:val="15"/>
                      <w:szCs w:val="15"/>
                    </w:rPr>
                  </w:pPr>
                  <w:r>
                    <w:rPr>
                      <w:rFonts w:hint="eastAsia" w:ascii="宋体" w:hAnsi="宋体" w:cs="宋体"/>
                      <w:color w:val="auto"/>
                      <w:sz w:val="15"/>
                      <w:szCs w:val="15"/>
                    </w:rPr>
                    <w:t>基本</w:t>
                  </w:r>
                </w:p>
                <w:p>
                  <w:pPr>
                    <w:jc w:val="center"/>
                    <w:rPr>
                      <w:rFonts w:ascii="宋体" w:hAnsi="宋体" w:cs="宋体"/>
                      <w:color w:val="auto"/>
                      <w:sz w:val="15"/>
                      <w:szCs w:val="15"/>
                    </w:rPr>
                  </w:pPr>
                  <w:r>
                    <w:rPr>
                      <w:rFonts w:hint="eastAsia" w:ascii="宋体" w:hAnsi="宋体" w:cs="宋体"/>
                      <w:color w:val="auto"/>
                      <w:sz w:val="15"/>
                      <w:szCs w:val="15"/>
                    </w:rPr>
                    <w:t>尺寸</w:t>
                  </w:r>
                </w:p>
              </w:tc>
              <w:tc>
                <w:tcPr>
                  <w:tcW w:w="666" w:type="dxa"/>
                  <w:vAlign w:val="center"/>
                </w:tcPr>
                <w:p>
                  <w:pPr>
                    <w:jc w:val="center"/>
                    <w:rPr>
                      <w:rFonts w:ascii="宋体" w:hAnsi="宋体" w:cs="宋体"/>
                      <w:color w:val="auto"/>
                      <w:sz w:val="15"/>
                      <w:szCs w:val="15"/>
                    </w:rPr>
                  </w:pPr>
                  <w:r>
                    <w:rPr>
                      <w:rFonts w:hint="eastAsia" w:ascii="宋体" w:hAnsi="宋体" w:cs="宋体"/>
                      <w:color w:val="auto"/>
                      <w:sz w:val="15"/>
                      <w:szCs w:val="15"/>
                    </w:rPr>
                    <w:t>极限</w:t>
                  </w:r>
                </w:p>
                <w:p>
                  <w:pPr>
                    <w:jc w:val="center"/>
                    <w:rPr>
                      <w:rFonts w:ascii="宋体" w:hAnsi="宋体" w:cs="宋体"/>
                      <w:color w:val="auto"/>
                      <w:sz w:val="15"/>
                      <w:szCs w:val="15"/>
                    </w:rPr>
                  </w:pPr>
                  <w:r>
                    <w:rPr>
                      <w:rFonts w:hint="eastAsia" w:ascii="宋体" w:hAnsi="宋体" w:cs="宋体"/>
                      <w:color w:val="auto"/>
                      <w:sz w:val="15"/>
                      <w:szCs w:val="15"/>
                    </w:rPr>
                    <w:t>偏差</w:t>
                  </w:r>
                </w:p>
              </w:tc>
              <w:tc>
                <w:tcPr>
                  <w:tcW w:w="684" w:type="dxa"/>
                  <w:vAlign w:val="center"/>
                </w:tcPr>
                <w:p>
                  <w:pPr>
                    <w:jc w:val="center"/>
                    <w:rPr>
                      <w:rFonts w:ascii="宋体" w:hAnsi="宋体" w:cs="宋体"/>
                      <w:color w:val="auto"/>
                      <w:sz w:val="15"/>
                      <w:szCs w:val="15"/>
                    </w:rPr>
                  </w:pPr>
                  <w:r>
                    <w:rPr>
                      <w:rFonts w:hint="eastAsia" w:ascii="宋体" w:hAnsi="宋体" w:cs="宋体"/>
                      <w:color w:val="auto"/>
                      <w:sz w:val="15"/>
                      <w:szCs w:val="15"/>
                    </w:rPr>
                    <w:t>基本</w:t>
                  </w:r>
                </w:p>
                <w:p>
                  <w:pPr>
                    <w:jc w:val="center"/>
                    <w:rPr>
                      <w:rFonts w:ascii="宋体" w:hAnsi="宋体" w:cs="宋体"/>
                      <w:color w:val="auto"/>
                      <w:sz w:val="15"/>
                      <w:szCs w:val="15"/>
                    </w:rPr>
                  </w:pPr>
                  <w:r>
                    <w:rPr>
                      <w:rFonts w:hint="eastAsia" w:ascii="宋体" w:hAnsi="宋体" w:cs="宋体"/>
                      <w:color w:val="auto"/>
                      <w:sz w:val="15"/>
                      <w:szCs w:val="15"/>
                    </w:rPr>
                    <w:t>尺寸</w:t>
                  </w:r>
                </w:p>
              </w:tc>
              <w:tc>
                <w:tcPr>
                  <w:tcW w:w="814" w:type="dxa"/>
                  <w:vAlign w:val="center"/>
                </w:tcPr>
                <w:p>
                  <w:pPr>
                    <w:jc w:val="center"/>
                    <w:rPr>
                      <w:rFonts w:ascii="宋体" w:hAnsi="宋体" w:cs="宋体"/>
                      <w:color w:val="auto"/>
                      <w:sz w:val="15"/>
                      <w:szCs w:val="15"/>
                    </w:rPr>
                  </w:pPr>
                  <w:r>
                    <w:rPr>
                      <w:rFonts w:hint="eastAsia" w:ascii="宋体" w:hAnsi="宋体" w:cs="宋体"/>
                      <w:color w:val="auto"/>
                      <w:sz w:val="15"/>
                      <w:szCs w:val="15"/>
                    </w:rPr>
                    <w:t>极限</w:t>
                  </w:r>
                </w:p>
                <w:p>
                  <w:pPr>
                    <w:jc w:val="center"/>
                    <w:rPr>
                      <w:rFonts w:ascii="宋体" w:hAnsi="宋体" w:cs="宋体"/>
                      <w:color w:val="auto"/>
                      <w:sz w:val="15"/>
                      <w:szCs w:val="15"/>
                    </w:rPr>
                  </w:pPr>
                  <w:r>
                    <w:rPr>
                      <w:rFonts w:hint="eastAsia" w:ascii="宋体" w:hAnsi="宋体" w:cs="宋体"/>
                      <w:color w:val="auto"/>
                      <w:sz w:val="15"/>
                      <w:szCs w:val="15"/>
                    </w:rPr>
                    <w:t>偏差</w:t>
                  </w:r>
                </w:p>
              </w:tc>
              <w:tc>
                <w:tcPr>
                  <w:tcW w:w="709" w:type="dxa"/>
                  <w:vAlign w:val="center"/>
                </w:tcPr>
                <w:p>
                  <w:pPr>
                    <w:jc w:val="center"/>
                    <w:rPr>
                      <w:rFonts w:ascii="宋体" w:hAnsi="宋体" w:cs="宋体"/>
                      <w:color w:val="auto"/>
                      <w:sz w:val="15"/>
                      <w:szCs w:val="15"/>
                    </w:rPr>
                  </w:pPr>
                  <w:r>
                    <w:rPr>
                      <w:rFonts w:hint="eastAsia" w:ascii="宋体" w:hAnsi="宋体" w:cs="宋体"/>
                      <w:color w:val="auto"/>
                      <w:sz w:val="15"/>
                      <w:szCs w:val="15"/>
                    </w:rPr>
                    <w:t>基本</w:t>
                  </w:r>
                </w:p>
                <w:p>
                  <w:pPr>
                    <w:jc w:val="center"/>
                    <w:rPr>
                      <w:rFonts w:ascii="宋体" w:hAnsi="宋体" w:cs="宋体"/>
                      <w:color w:val="auto"/>
                      <w:sz w:val="15"/>
                      <w:szCs w:val="15"/>
                    </w:rPr>
                  </w:pPr>
                  <w:r>
                    <w:rPr>
                      <w:rFonts w:hint="eastAsia" w:ascii="宋体" w:hAnsi="宋体" w:cs="宋体"/>
                      <w:color w:val="auto"/>
                      <w:sz w:val="15"/>
                      <w:szCs w:val="15"/>
                    </w:rPr>
                    <w:t>尺寸</w:t>
                  </w:r>
                </w:p>
              </w:tc>
              <w:tc>
                <w:tcPr>
                  <w:tcW w:w="706" w:type="dxa"/>
                  <w:vAlign w:val="center"/>
                </w:tcPr>
                <w:p>
                  <w:pPr>
                    <w:jc w:val="center"/>
                    <w:rPr>
                      <w:rFonts w:ascii="宋体" w:hAnsi="宋体" w:cs="宋体"/>
                      <w:color w:val="auto"/>
                      <w:sz w:val="15"/>
                      <w:szCs w:val="15"/>
                    </w:rPr>
                  </w:pPr>
                  <w:r>
                    <w:rPr>
                      <w:rFonts w:hint="eastAsia" w:ascii="宋体" w:hAnsi="宋体" w:cs="宋体"/>
                      <w:color w:val="auto"/>
                      <w:sz w:val="15"/>
                      <w:szCs w:val="15"/>
                    </w:rPr>
                    <w:t>极限</w:t>
                  </w:r>
                </w:p>
                <w:p>
                  <w:pPr>
                    <w:jc w:val="center"/>
                    <w:rPr>
                      <w:rFonts w:ascii="宋体" w:hAnsi="宋体" w:cs="宋体"/>
                      <w:color w:val="auto"/>
                      <w:sz w:val="15"/>
                      <w:szCs w:val="15"/>
                    </w:rPr>
                  </w:pPr>
                  <w:r>
                    <w:rPr>
                      <w:rFonts w:hint="eastAsia" w:ascii="宋体" w:hAnsi="宋体" w:cs="宋体"/>
                      <w:color w:val="auto"/>
                      <w:sz w:val="15"/>
                      <w:szCs w:val="15"/>
                    </w:rPr>
                    <w:t>偏差</w:t>
                  </w:r>
                </w:p>
              </w:tc>
              <w:tc>
                <w:tcPr>
                  <w:tcW w:w="666" w:type="dxa"/>
                  <w:vMerge w:val="continue"/>
                  <w:vAlign w:val="center"/>
                </w:tcPr>
                <w:p>
                  <w:pPr>
                    <w:jc w:val="center"/>
                    <w:rPr>
                      <w:rFonts w:ascii="宋体" w:hAnsi="宋体" w:cs="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940" w:type="dxa"/>
                  <w:vAlign w:val="center"/>
                </w:tcPr>
                <w:p>
                  <w:pPr>
                    <w:jc w:val="center"/>
                    <w:rPr>
                      <w:rFonts w:ascii="宋体" w:hAnsi="宋体" w:cs="宋体"/>
                      <w:color w:val="auto"/>
                      <w:sz w:val="15"/>
                      <w:szCs w:val="15"/>
                    </w:rPr>
                  </w:pPr>
                  <w:r>
                    <w:rPr>
                      <w:rFonts w:hint="eastAsia" w:ascii="宋体" w:hAnsi="宋体" w:cs="宋体"/>
                      <w:color w:val="auto"/>
                      <w:sz w:val="15"/>
                      <w:szCs w:val="15"/>
                    </w:rPr>
                    <w:t>100</w:t>
                  </w:r>
                </w:p>
              </w:tc>
              <w:tc>
                <w:tcPr>
                  <w:tcW w:w="529" w:type="dxa"/>
                  <w:vAlign w:val="center"/>
                </w:tcPr>
                <w:p>
                  <w:pPr>
                    <w:jc w:val="center"/>
                    <w:rPr>
                      <w:rFonts w:ascii="宋体" w:hAnsi="宋体" w:cs="宋体"/>
                      <w:color w:val="auto"/>
                      <w:sz w:val="15"/>
                      <w:szCs w:val="15"/>
                    </w:rPr>
                  </w:pPr>
                  <w:r>
                    <w:rPr>
                      <w:rFonts w:hint="eastAsia" w:ascii="宋体" w:hAnsi="宋体" w:cs="宋体"/>
                      <w:color w:val="auto"/>
                      <w:sz w:val="15"/>
                      <w:szCs w:val="15"/>
                    </w:rPr>
                    <w:t>220</w:t>
                  </w:r>
                </w:p>
              </w:tc>
              <w:tc>
                <w:tcPr>
                  <w:tcW w:w="666" w:type="dxa"/>
                  <w:vAlign w:val="center"/>
                </w:tcPr>
                <w:p>
                  <w:pPr>
                    <w:jc w:val="center"/>
                    <w:rPr>
                      <w:rFonts w:ascii="宋体" w:hAnsi="宋体" w:cs="宋体"/>
                      <w:color w:val="auto"/>
                      <w:sz w:val="15"/>
                      <w:szCs w:val="15"/>
                    </w:rPr>
                  </w:pPr>
                  <w:r>
                    <w:rPr>
                      <w:rFonts w:hint="eastAsia" w:ascii="宋体" w:hAnsi="宋体" w:cs="宋体"/>
                      <w:color w:val="auto"/>
                      <w:sz w:val="15"/>
                      <w:szCs w:val="15"/>
                    </w:rPr>
                    <w:t>±2.80</w:t>
                  </w:r>
                </w:p>
              </w:tc>
              <w:tc>
                <w:tcPr>
                  <w:tcW w:w="684" w:type="dxa"/>
                  <w:vAlign w:val="center"/>
                </w:tcPr>
                <w:p>
                  <w:pPr>
                    <w:jc w:val="center"/>
                    <w:rPr>
                      <w:rFonts w:ascii="宋体" w:hAnsi="宋体" w:cs="宋体"/>
                      <w:color w:val="auto"/>
                      <w:sz w:val="15"/>
                      <w:szCs w:val="15"/>
                    </w:rPr>
                  </w:pPr>
                  <w:r>
                    <w:rPr>
                      <w:rFonts w:hint="eastAsia" w:ascii="宋体" w:hAnsi="宋体" w:cs="宋体"/>
                      <w:color w:val="auto"/>
                      <w:sz w:val="15"/>
                      <w:szCs w:val="15"/>
                    </w:rPr>
                    <w:t>180</w:t>
                  </w:r>
                </w:p>
              </w:tc>
              <w:tc>
                <w:tcPr>
                  <w:tcW w:w="814" w:type="dxa"/>
                  <w:vAlign w:val="center"/>
                </w:tcPr>
                <w:p>
                  <w:pPr>
                    <w:jc w:val="center"/>
                    <w:rPr>
                      <w:rFonts w:ascii="宋体" w:hAnsi="宋体" w:cs="宋体"/>
                      <w:color w:val="auto"/>
                      <w:sz w:val="15"/>
                      <w:szCs w:val="15"/>
                    </w:rPr>
                  </w:pPr>
                  <w:r>
                    <w:rPr>
                      <w:rFonts w:hint="eastAsia" w:ascii="宋体" w:hAnsi="宋体" w:cs="宋体"/>
                      <w:color w:val="auto"/>
                      <w:sz w:val="15"/>
                      <w:szCs w:val="15"/>
                    </w:rPr>
                    <w:t>±0.50</w:t>
                  </w:r>
                </w:p>
              </w:tc>
              <w:tc>
                <w:tcPr>
                  <w:tcW w:w="709" w:type="dxa"/>
                  <w:vAlign w:val="center"/>
                </w:tcPr>
                <w:p>
                  <w:pPr>
                    <w:jc w:val="center"/>
                    <w:rPr>
                      <w:rFonts w:ascii="宋体" w:hAnsi="宋体" w:cs="宋体"/>
                      <w:color w:val="auto"/>
                      <w:sz w:val="15"/>
                      <w:szCs w:val="15"/>
                    </w:rPr>
                  </w:pPr>
                  <w:r>
                    <w:rPr>
                      <w:rFonts w:hint="eastAsia" w:ascii="宋体" w:hAnsi="宋体" w:cs="宋体"/>
                      <w:color w:val="auto"/>
                      <w:sz w:val="15"/>
                      <w:szCs w:val="15"/>
                    </w:rPr>
                    <w:t>18.0</w:t>
                  </w:r>
                </w:p>
              </w:tc>
              <w:tc>
                <w:tcPr>
                  <w:tcW w:w="706" w:type="dxa"/>
                  <w:vAlign w:val="center"/>
                </w:tcPr>
                <w:p>
                  <w:pPr>
                    <w:jc w:val="center"/>
                    <w:rPr>
                      <w:rFonts w:ascii="宋体" w:hAnsi="宋体" w:cs="宋体"/>
                      <w:color w:val="auto"/>
                      <w:sz w:val="15"/>
                      <w:szCs w:val="15"/>
                      <w:shd w:val="clear" w:color="auto" w:fill="FFFFFF"/>
                    </w:rPr>
                  </w:pPr>
                  <w:r>
                    <w:rPr>
                      <w:rFonts w:hint="eastAsia" w:ascii="宋体" w:hAnsi="宋体" w:cs="宋体"/>
                      <w:color w:val="auto"/>
                      <w:sz w:val="15"/>
                      <w:szCs w:val="15"/>
                      <w:shd w:val="clear" w:color="auto" w:fill="FFFFFF"/>
                    </w:rPr>
                    <w:t>+0.43</w:t>
                  </w:r>
                </w:p>
                <w:p>
                  <w:pPr>
                    <w:ind w:firstLine="75" w:firstLineChars="50"/>
                    <w:jc w:val="center"/>
                    <w:rPr>
                      <w:rFonts w:ascii="宋体" w:hAnsi="宋体" w:cs="宋体"/>
                      <w:color w:val="auto"/>
                      <w:sz w:val="15"/>
                      <w:szCs w:val="15"/>
                    </w:rPr>
                  </w:pPr>
                  <w:r>
                    <w:rPr>
                      <w:rFonts w:hint="eastAsia" w:ascii="宋体" w:hAnsi="宋体" w:cs="宋体"/>
                      <w:color w:val="auto"/>
                      <w:sz w:val="15"/>
                      <w:szCs w:val="15"/>
                      <w:shd w:val="clear" w:color="auto" w:fill="FFFFFF"/>
                    </w:rPr>
                    <w:t>0</w:t>
                  </w:r>
                </w:p>
              </w:tc>
              <w:tc>
                <w:tcPr>
                  <w:tcW w:w="666" w:type="dxa"/>
                  <w:vAlign w:val="center"/>
                </w:tcPr>
                <w:p>
                  <w:pPr>
                    <w:jc w:val="center"/>
                    <w:rPr>
                      <w:rFonts w:ascii="宋体" w:hAnsi="宋体" w:cs="宋体"/>
                      <w:color w:val="auto"/>
                      <w:sz w:val="15"/>
                      <w:szCs w:val="15"/>
                    </w:rPr>
                  </w:pPr>
                  <w:r>
                    <w:rPr>
                      <w:rFonts w:hint="eastAsia" w:ascii="宋体" w:hAnsi="宋体" w:cs="宋体"/>
                      <w:color w:val="auto"/>
                      <w:sz w:val="15"/>
                      <w:szCs w:val="15"/>
                    </w:rPr>
                    <w:t>8</w:t>
                  </w:r>
                </w:p>
              </w:tc>
            </w:tr>
          </w:tbl>
          <w:p>
            <w:pPr>
              <w:rPr>
                <w:rFonts w:ascii="宋体" w:hAnsi="宋体" w:cs="宋体"/>
                <w:color w:val="auto"/>
                <w:sz w:val="24"/>
              </w:rPr>
            </w:pPr>
            <w:r>
              <w:rPr>
                <w:rFonts w:hint="eastAsia" w:ascii="宋体" w:hAnsi="宋体" w:cs="宋体"/>
                <w:color w:val="auto"/>
                <w:sz w:val="24"/>
              </w:rPr>
              <w:t>提供消防产品认证证书。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color w:val="auto"/>
                <w:sz w:val="24"/>
              </w:rPr>
            </w:pPr>
            <w:r>
              <w:rPr>
                <w:rFonts w:hint="eastAsia" w:ascii="宋体" w:hAnsi="宋体" w:cs="宋体"/>
                <w:color w:val="auto"/>
                <w:sz w:val="24"/>
              </w:rPr>
              <w:t>25</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color w:val="auto"/>
                <w:sz w:val="24"/>
              </w:rPr>
            </w:pPr>
            <w:r>
              <w:rPr>
                <w:rFonts w:hint="eastAsia" w:ascii="宋体" w:hAnsi="宋体" w:cs="宋体"/>
                <w:color w:val="auto"/>
                <w:sz w:val="24"/>
              </w:rPr>
              <w:t>新购消防直流水枪</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color w:val="auto"/>
                <w:sz w:val="24"/>
              </w:rPr>
            </w:pPr>
            <w:r>
              <w:rPr>
                <w:rFonts w:hint="eastAsia" w:ascii="宋体" w:hAnsi="宋体" w:cs="宋体"/>
                <w:color w:val="auto"/>
                <w:sz w:val="24"/>
              </w:rPr>
              <w:t>DN65</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color w:val="auto"/>
                <w:sz w:val="24"/>
              </w:rPr>
            </w:pPr>
            <w:r>
              <w:rPr>
                <w:rFonts w:hint="eastAsia" w:ascii="宋体" w:hAnsi="宋体" w:cs="宋体"/>
                <w:color w:val="auto"/>
                <w:sz w:val="24"/>
              </w:rPr>
              <w:t>55</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color w:val="auto"/>
                <w:sz w:val="24"/>
              </w:rPr>
            </w:pPr>
            <w:r>
              <w:rPr>
                <w:rFonts w:hint="eastAsia" w:ascii="宋体" w:hAnsi="宋体" w:cs="宋体"/>
                <w:color w:val="auto"/>
                <w:sz w:val="24"/>
              </w:rPr>
              <w:t>支</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color w:val="auto"/>
                <w:sz w:val="24"/>
              </w:rPr>
            </w:pPr>
            <w:r>
              <w:rPr>
                <w:rFonts w:hint="eastAsia" w:ascii="宋体" w:hAnsi="宋体" w:cs="宋体"/>
                <w:color w:val="auto"/>
                <w:sz w:val="24"/>
              </w:rPr>
              <w:t>40</w:t>
            </w:r>
          </w:p>
        </w:tc>
        <w:tc>
          <w:tcPr>
            <w:tcW w:w="5939"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color w:val="auto"/>
                <w:sz w:val="24"/>
              </w:rPr>
            </w:pPr>
            <w:r>
              <w:rPr>
                <w:rFonts w:hint="eastAsia" w:ascii="宋体" w:hAnsi="宋体" w:cs="宋体"/>
                <w:color w:val="auto"/>
                <w:sz w:val="24"/>
              </w:rPr>
              <w:t>流量（L/S）：≥7.5；</w:t>
            </w:r>
          </w:p>
          <w:p>
            <w:pPr>
              <w:jc w:val="left"/>
              <w:rPr>
                <w:rFonts w:ascii="宋体" w:hAnsi="宋体" w:cs="宋体"/>
                <w:color w:val="auto"/>
                <w:sz w:val="24"/>
              </w:rPr>
            </w:pPr>
            <w:r>
              <w:rPr>
                <w:rFonts w:hint="eastAsia" w:ascii="宋体" w:hAnsi="宋体" w:cs="宋体"/>
                <w:color w:val="auto"/>
                <w:sz w:val="24"/>
              </w:rPr>
              <w:t>射程（m）：≥28；</w:t>
            </w:r>
          </w:p>
          <w:p>
            <w:pPr>
              <w:jc w:val="left"/>
              <w:rPr>
                <w:rFonts w:ascii="宋体" w:hAnsi="宋体" w:cs="宋体"/>
                <w:color w:val="auto"/>
                <w:sz w:val="24"/>
              </w:rPr>
            </w:pPr>
            <w:r>
              <w:rPr>
                <w:rFonts w:hint="eastAsia" w:ascii="宋体" w:hAnsi="宋体" w:cs="宋体"/>
                <w:color w:val="auto"/>
                <w:sz w:val="24"/>
              </w:rPr>
              <w:t>喷射压力（MPa）：≥0.35</w:t>
            </w:r>
          </w:p>
          <w:p>
            <w:pPr>
              <w:jc w:val="left"/>
              <w:rPr>
                <w:rFonts w:ascii="宋体" w:hAnsi="宋体" w:cs="宋体"/>
                <w:color w:val="auto"/>
                <w:sz w:val="24"/>
              </w:rPr>
            </w:pPr>
            <w:r>
              <w:rPr>
                <w:rFonts w:hint="eastAsia" w:ascii="宋体" w:hAnsi="宋体" w:cs="宋体"/>
                <w:color w:val="auto"/>
                <w:sz w:val="24"/>
              </w:rPr>
              <w:t>提供消防产品认证证书。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55"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26</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新购TZL30过滤式消防自救呼吸器</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国标30分</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95</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个</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280</w:t>
            </w:r>
          </w:p>
        </w:tc>
        <w:tc>
          <w:tcPr>
            <w:tcW w:w="5939"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佩戴质量（g）≤1000；防护性能：CO透过浓度（ml/m³）：在额定防护时间内任何单个5min过程中，CO透过浓度的时间加权平均值≤200 ml/m³；吸气温度（℃）：≤65；吸气阻力（Pa）：≤800；呼气阻力（Pa）: ≤300；滤烟性能（%）：滤烟效率≥95%；防护头罩：眼区漏气系数（%）：≤20；呼吸区漏气系数（%）：≤5；总视野（%）：≥70；双目视野（%）：≥55；下方视野（%）：≥35；吸入气体中的CO</w:t>
            </w:r>
            <w:r>
              <w:rPr>
                <w:sz w:val="24"/>
              </w:rPr>
              <w:t>₂</w:t>
            </w:r>
            <w:r>
              <w:rPr>
                <w:rFonts w:hint="eastAsia" w:ascii="宋体" w:hAnsi="宋体" w:cs="宋体"/>
                <w:sz w:val="24"/>
              </w:rPr>
              <w:t>含量（%）：≤2；透光率（%）：≥85</w:t>
            </w:r>
          </w:p>
          <w:p>
            <w:pPr>
              <w:rPr>
                <w:rFonts w:ascii="宋体" w:hAnsi="宋体" w:cs="宋体"/>
                <w:sz w:val="24"/>
              </w:rPr>
            </w:pPr>
            <w:r>
              <w:rPr>
                <w:rFonts w:hint="eastAsia" w:ascii="宋体" w:hAnsi="宋体" w:cs="宋体"/>
                <w:color w:val="auto"/>
                <w:sz w:val="24"/>
              </w:rPr>
              <w:t>★提供产品的3C认证证书。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20"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27</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新购灭火器使用说明（不干胶标识）</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25cm*36cm</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28</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张</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300</w:t>
            </w:r>
          </w:p>
        </w:tc>
        <w:tc>
          <w:tcPr>
            <w:tcW w:w="5939"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执行《消防安全标志GB13495.1-2015》标准，由几何形状、安全色、表示特定消防安全信息的图形符号构成。外观：字体印刷清晰，油墨饱满鲜艳，边缘齐整，无裁剪毛边；色牢度：用白布约100N力来回摩擦10次，无掉色现象；粘性：粘贴平服，经24小时后无气泡，翘脚现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20"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28</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新购消火栓使用说明（不干胶标识）</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34cm*56cm</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32</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张</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150</w:t>
            </w:r>
          </w:p>
        </w:tc>
        <w:tc>
          <w:tcPr>
            <w:tcW w:w="5939"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执行《消防安全标志GB13495.1-2015》标准，由几何形状、安全色、表示特定消防安全信息的图形符号构成。外观：字体印刷清晰，油墨饱满鲜艳，边缘齐整，无裁剪毛边；色牢度：用白布约100N力来回摩擦10次，无掉色现象；粘性：粘贴平服，经24小时后无气泡，翘脚现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0"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29</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新购（常开、常闭）消防铝塑标识</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5cm*10cm</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10</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张</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102</w:t>
            </w:r>
          </w:p>
        </w:tc>
        <w:tc>
          <w:tcPr>
            <w:tcW w:w="5939"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执行《消防安全标志GB13495.1-2015》标准，由几何形状、安全色、表示特定消防安全信息的图形符号构成。外观：字体印刷清晰，油墨饱满鲜艳，边缘齐整，无裁剪毛边；色牢度：用白布约100N力来回摩擦10次，无掉色现象；粘性：粘贴平服，经24小时后无气泡，翘脚现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30</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新购消防应急照明灯</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双头</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68</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台</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105</w:t>
            </w:r>
          </w:p>
        </w:tc>
        <w:tc>
          <w:tcPr>
            <w:tcW w:w="5939"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工作模式：非持续；工作电压：220VAC 50HZ；转换时间：&lt;2S；应急时间：&gt;90MIN；外壳防护等级：不低于IP30。</w:t>
            </w:r>
          </w:p>
          <w:p>
            <w:pPr>
              <w:rPr>
                <w:rFonts w:ascii="宋体" w:hAnsi="宋体" w:cs="宋体"/>
                <w:sz w:val="24"/>
              </w:rPr>
            </w:pPr>
            <w:r>
              <w:rPr>
                <w:rFonts w:hint="eastAsia" w:ascii="宋体" w:hAnsi="宋体" w:cs="宋体"/>
                <w:color w:val="auto"/>
                <w:sz w:val="24"/>
              </w:rPr>
              <w:t>★提供产品的3C认证证书。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1"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31</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新购消防疏散指示灯</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单面</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65</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台</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200</w:t>
            </w:r>
          </w:p>
        </w:tc>
        <w:tc>
          <w:tcPr>
            <w:tcW w:w="5939"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外壳防护等级：不低于IP30；额定电源电压：AC220V； 额定工作频率：50Hz；标称应急工作时间：≥90min；光源名称和参数：LED,DC2.8V~DC3.4V；主电功耗：≤5W。</w:t>
            </w:r>
          </w:p>
          <w:p>
            <w:pPr>
              <w:rPr>
                <w:rFonts w:ascii="宋体" w:hAnsi="宋体" w:cs="宋体"/>
                <w:sz w:val="24"/>
              </w:rPr>
            </w:pPr>
            <w:r>
              <w:rPr>
                <w:rFonts w:hint="eastAsia" w:ascii="宋体" w:hAnsi="宋体" w:cs="宋体"/>
                <w:color w:val="auto"/>
                <w:sz w:val="24"/>
              </w:rPr>
              <w:t>★提供产品的3C认证证书。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6" w:hRule="atLeast"/>
        </w:trPr>
        <w:tc>
          <w:tcPr>
            <w:tcW w:w="549"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24"/>
              </w:rPr>
            </w:pPr>
            <w:r>
              <w:rPr>
                <w:rFonts w:hint="eastAsia" w:ascii="宋体" w:hAnsi="宋体" w:cs="宋体"/>
                <w:sz w:val="24"/>
              </w:rPr>
              <w:t>32</w:t>
            </w:r>
          </w:p>
        </w:tc>
        <w:tc>
          <w:tcPr>
            <w:tcW w:w="971"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left"/>
              <w:rPr>
                <w:rFonts w:ascii="宋体" w:hAnsi="宋体" w:cs="宋体"/>
                <w:sz w:val="24"/>
              </w:rPr>
            </w:pPr>
            <w:r>
              <w:rPr>
                <w:rFonts w:hint="eastAsia" w:ascii="宋体" w:hAnsi="宋体" w:cs="宋体"/>
                <w:sz w:val="24"/>
              </w:rPr>
              <w:t>新购嵌入式指示灯</w:t>
            </w:r>
          </w:p>
        </w:tc>
        <w:tc>
          <w:tcPr>
            <w:tcW w:w="69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单面</w:t>
            </w:r>
          </w:p>
        </w:tc>
        <w:tc>
          <w:tcPr>
            <w:tcW w:w="760"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100</w:t>
            </w:r>
          </w:p>
        </w:tc>
        <w:tc>
          <w:tcPr>
            <w:tcW w:w="598"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台</w:t>
            </w:r>
          </w:p>
        </w:tc>
        <w:tc>
          <w:tcPr>
            <w:tcW w:w="593"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120</w:t>
            </w:r>
          </w:p>
        </w:tc>
        <w:tc>
          <w:tcPr>
            <w:tcW w:w="5939" w:type="dxa"/>
            <w:tcBorders>
              <w:top w:val="single" w:color="000000" w:sz="2" w:space="0"/>
              <w:left w:val="single" w:color="000000" w:sz="2" w:space="0"/>
              <w:bottom w:val="single" w:color="000000" w:sz="2" w:space="0"/>
              <w:right w:val="single" w:color="000000" w:sz="2" w:space="0"/>
            </w:tcBorders>
            <w:tcMar>
              <w:top w:w="80" w:type="dxa"/>
              <w:left w:w="80" w:type="dxa"/>
              <w:bottom w:w="80" w:type="dxa"/>
              <w:right w:w="80" w:type="dxa"/>
            </w:tcMar>
            <w:vAlign w:val="center"/>
          </w:tcPr>
          <w:p>
            <w:pPr>
              <w:jc w:val="center"/>
              <w:rPr>
                <w:rFonts w:ascii="宋体" w:hAnsi="宋体" w:cs="宋体"/>
                <w:sz w:val="24"/>
              </w:rPr>
            </w:pPr>
            <w:r>
              <w:rPr>
                <w:rFonts w:hint="eastAsia" w:ascii="宋体" w:hAnsi="宋体" w:cs="宋体"/>
                <w:sz w:val="24"/>
              </w:rPr>
              <w:t>外壳防护等级：不低于IP30；额定电源电压：AC220V； 额定工作频率：50Hz；标称应急工作时间：≥90min；光源名称和参数：LED,DC2.8V~DC3.4V；主电功耗：5W。</w:t>
            </w:r>
          </w:p>
          <w:p>
            <w:pPr>
              <w:rPr>
                <w:rFonts w:ascii="宋体" w:hAnsi="宋体" w:cs="宋体"/>
                <w:sz w:val="24"/>
              </w:rPr>
            </w:pPr>
            <w:r>
              <w:rPr>
                <w:rFonts w:hint="eastAsia" w:ascii="宋体" w:hAnsi="宋体" w:cs="宋体"/>
                <w:color w:val="auto"/>
                <w:sz w:val="24"/>
              </w:rPr>
              <w:t>★提供产品的3C认证证书。</w:t>
            </w:r>
          </w:p>
        </w:tc>
      </w:tr>
    </w:tbl>
    <w:p>
      <w:pPr>
        <w:widowControl/>
        <w:spacing w:after="120" w:line="360" w:lineRule="auto"/>
        <w:jc w:val="left"/>
        <w:rPr>
          <w:rFonts w:ascii="宋体" w:hAnsi="宋体"/>
          <w:b/>
          <w:bCs/>
          <w:sz w:val="24"/>
        </w:rPr>
      </w:pPr>
      <w:bookmarkStart w:id="795" w:name="_GoBack"/>
      <w:bookmarkEnd w:id="795"/>
      <w:bookmarkStart w:id="667" w:name="_Toc29306"/>
      <w:bookmarkStart w:id="668" w:name="_Toc10792"/>
    </w:p>
    <w:p>
      <w:pPr>
        <w:widowControl/>
        <w:spacing w:after="120" w:line="360" w:lineRule="auto"/>
        <w:jc w:val="left"/>
        <w:rPr>
          <w:rFonts w:ascii="宋体" w:hAnsi="宋体"/>
          <w:b/>
          <w:bCs/>
          <w:sz w:val="24"/>
          <w:lang w:val="zh-CN"/>
        </w:rPr>
      </w:pPr>
      <w:r>
        <w:rPr>
          <w:rFonts w:hint="eastAsia" w:ascii="宋体" w:hAnsi="宋体"/>
          <w:b/>
          <w:bCs/>
          <w:sz w:val="24"/>
        </w:rPr>
        <w:t>二、其他</w:t>
      </w:r>
      <w:r>
        <w:rPr>
          <w:rFonts w:hint="eastAsia" w:ascii="宋体" w:hAnsi="宋体"/>
          <w:b/>
          <w:bCs/>
          <w:sz w:val="24"/>
          <w:lang w:val="zh-CN"/>
        </w:rPr>
        <w:t>说明：</w:t>
      </w:r>
    </w:p>
    <w:p>
      <w:pPr>
        <w:widowControl/>
        <w:spacing w:after="120" w:line="360" w:lineRule="auto"/>
        <w:jc w:val="left"/>
        <w:rPr>
          <w:rFonts w:ascii="宋体" w:hAnsi="宋体"/>
          <w:sz w:val="24"/>
          <w:lang w:val="zh-CN"/>
        </w:rPr>
      </w:pPr>
      <w:r>
        <w:rPr>
          <w:rFonts w:hint="eastAsia" w:ascii="宋体" w:hAnsi="宋体"/>
          <w:sz w:val="24"/>
          <w:lang w:val="zh-CN"/>
        </w:rPr>
        <w:t>1.采购数量为参考数据，结算按实际采购量进行结算。</w:t>
      </w:r>
    </w:p>
    <w:p>
      <w:pPr>
        <w:widowControl/>
        <w:spacing w:after="120" w:line="360" w:lineRule="auto"/>
        <w:jc w:val="left"/>
        <w:rPr>
          <w:rFonts w:ascii="宋体" w:hAnsi="宋体"/>
          <w:sz w:val="24"/>
          <w:lang w:val="zh-CN"/>
        </w:rPr>
      </w:pPr>
      <w:r>
        <w:rPr>
          <w:rFonts w:hint="eastAsia" w:ascii="宋体" w:hAnsi="宋体"/>
          <w:sz w:val="24"/>
          <w:lang w:val="zh-CN"/>
        </w:rPr>
        <w:t>2.交付时间：自合同签订之日起至合同有效期壹年内止，</w:t>
      </w:r>
      <w:r>
        <w:rPr>
          <w:rFonts w:hint="eastAsia" w:ascii="宋体" w:hAnsi="宋体"/>
          <w:sz w:val="24"/>
        </w:rPr>
        <w:t>针对产品购置，要求在收到采购人每次送货指示后7日内送达指定地点；针对检修服务，</w:t>
      </w:r>
      <w:r>
        <w:rPr>
          <w:rFonts w:hint="eastAsia" w:ascii="宋体" w:hAnsi="宋体"/>
          <w:sz w:val="24"/>
          <w:lang w:val="en-US" w:eastAsia="zh-CN"/>
        </w:rPr>
        <w:t>接到检修通知后3日内</w:t>
      </w:r>
      <w:r>
        <w:rPr>
          <w:rFonts w:hint="eastAsia" w:ascii="宋体" w:hAnsi="宋体"/>
          <w:sz w:val="24"/>
        </w:rPr>
        <w:t>完成</w:t>
      </w:r>
      <w:r>
        <w:rPr>
          <w:rFonts w:hint="eastAsia" w:ascii="宋体" w:hAnsi="宋体"/>
          <w:sz w:val="24"/>
          <w:lang w:val="zh-CN"/>
        </w:rPr>
        <w:t>。</w:t>
      </w:r>
    </w:p>
    <w:p>
      <w:pPr>
        <w:widowControl/>
        <w:spacing w:after="120" w:line="360" w:lineRule="auto"/>
        <w:jc w:val="left"/>
        <w:rPr>
          <w:rFonts w:ascii="宋体" w:hAnsi="宋体"/>
          <w:sz w:val="24"/>
          <w:lang w:val="zh-CN"/>
        </w:rPr>
      </w:pPr>
      <w:r>
        <w:rPr>
          <w:rFonts w:hint="eastAsia" w:ascii="宋体" w:hAnsi="宋体"/>
          <w:sz w:val="24"/>
          <w:lang w:val="zh-CN"/>
        </w:rPr>
        <w:t>3.交付地点：首都师范大学各校区。</w:t>
      </w:r>
    </w:p>
    <w:p>
      <w:pPr>
        <w:widowControl/>
        <w:spacing w:after="120" w:line="360" w:lineRule="auto"/>
        <w:jc w:val="left"/>
        <w:rPr>
          <w:rFonts w:ascii="宋体" w:hAnsi="宋体"/>
          <w:sz w:val="24"/>
          <w:lang w:val="zh-CN"/>
        </w:rPr>
      </w:pPr>
      <w:r>
        <w:rPr>
          <w:rFonts w:hint="eastAsia" w:ascii="宋体" w:hAnsi="宋体"/>
          <w:sz w:val="24"/>
          <w:lang w:val="zh-CN"/>
        </w:rPr>
        <w:t>4.采购验收标准：参照相关消防设施设备、器材的技术规范要求、</w:t>
      </w:r>
      <w:r>
        <w:rPr>
          <w:rFonts w:hint="eastAsia" w:ascii="宋体" w:hAnsi="宋体"/>
          <w:sz w:val="24"/>
        </w:rPr>
        <w:t>采购文件和响应文件、</w:t>
      </w:r>
      <w:r>
        <w:rPr>
          <w:rFonts w:hint="eastAsia" w:ascii="宋体" w:hAnsi="宋体"/>
          <w:sz w:val="24"/>
          <w:lang w:val="zh-CN"/>
        </w:rPr>
        <w:t>国家消防装备质量监督检验中心</w:t>
      </w:r>
      <w:r>
        <w:rPr>
          <w:rFonts w:hint="eastAsia" w:ascii="宋体" w:hAnsi="宋体"/>
          <w:sz w:val="24"/>
        </w:rPr>
        <w:t>出具的</w:t>
      </w:r>
      <w:r>
        <w:rPr>
          <w:rFonts w:hint="eastAsia" w:ascii="宋体" w:hAnsi="宋体"/>
          <w:sz w:val="24"/>
          <w:lang w:val="zh-CN"/>
        </w:rPr>
        <w:t>的</w:t>
      </w:r>
      <w:r>
        <w:rPr>
          <w:rFonts w:hint="eastAsia" w:ascii="宋体" w:hAnsi="宋体"/>
          <w:sz w:val="24"/>
        </w:rPr>
        <w:t>产品</w:t>
      </w:r>
      <w:r>
        <w:rPr>
          <w:rFonts w:hint="eastAsia" w:ascii="宋体" w:hAnsi="宋体"/>
          <w:sz w:val="24"/>
          <w:lang w:val="zh-CN"/>
        </w:rPr>
        <w:t>检测报告。</w:t>
      </w:r>
      <w:r>
        <w:rPr>
          <w:rFonts w:hint="eastAsia" w:ascii="宋体" w:hAnsi="宋体"/>
          <w:sz w:val="24"/>
        </w:rPr>
        <w:t>针对检修，要求设备压力值在正常值内，各种配件无老化损坏，并于瓶体正面显要位置粘贴检修合格证并盖供应商公章；</w:t>
      </w:r>
    </w:p>
    <w:p>
      <w:pPr>
        <w:widowControl/>
        <w:spacing w:after="120" w:line="360" w:lineRule="auto"/>
        <w:jc w:val="left"/>
        <w:rPr>
          <w:rFonts w:ascii="宋体" w:hAnsi="宋体"/>
          <w:sz w:val="24"/>
          <w:lang w:val="zh-CN"/>
        </w:rPr>
      </w:pPr>
      <w:r>
        <w:rPr>
          <w:rFonts w:hint="eastAsia" w:ascii="宋体" w:hAnsi="宋体"/>
          <w:sz w:val="24"/>
          <w:lang w:val="zh-CN"/>
        </w:rPr>
        <w:t>5.质保期：</w:t>
      </w:r>
      <w:r>
        <w:rPr>
          <w:rFonts w:hint="eastAsia" w:ascii="宋体" w:hAnsi="宋体"/>
          <w:sz w:val="24"/>
        </w:rPr>
        <w:t>验收合格后</w:t>
      </w:r>
      <w:r>
        <w:rPr>
          <w:rFonts w:hint="eastAsia" w:ascii="宋体" w:hAnsi="宋体"/>
          <w:sz w:val="24"/>
          <w:lang w:val="zh-CN"/>
        </w:rPr>
        <w:t>壹年。</w:t>
      </w:r>
    </w:p>
    <w:p>
      <w:pPr>
        <w:widowControl/>
        <w:spacing w:after="120" w:line="360" w:lineRule="auto"/>
        <w:jc w:val="left"/>
        <w:rPr>
          <w:rFonts w:ascii="宋体" w:hAnsi="宋体"/>
          <w:sz w:val="24"/>
          <w:lang w:val="zh-CN"/>
        </w:rPr>
      </w:pPr>
      <w:r>
        <w:rPr>
          <w:rFonts w:hint="eastAsia" w:ascii="宋体" w:hAnsi="宋体"/>
          <w:sz w:val="24"/>
          <w:lang w:val="zh-CN"/>
        </w:rPr>
        <w:t>6.售后服务及保障措施：质保期内产品出现质量问题，免费及时更换；</w:t>
      </w:r>
    </w:p>
    <w:p>
      <w:pPr>
        <w:widowControl/>
        <w:spacing w:after="120" w:line="360" w:lineRule="auto"/>
        <w:jc w:val="left"/>
        <w:rPr>
          <w:rFonts w:ascii="宋体" w:hAnsi="宋体"/>
          <w:sz w:val="24"/>
          <w:lang w:val="zh-CN"/>
        </w:rPr>
      </w:pPr>
      <w:r>
        <w:rPr>
          <w:rFonts w:hint="eastAsia" w:ascii="宋体" w:hAnsi="宋体"/>
          <w:sz w:val="24"/>
          <w:lang w:val="zh-CN"/>
        </w:rPr>
        <w:t>7.报价方式：</w:t>
      </w:r>
    </w:p>
    <w:p>
      <w:pPr>
        <w:widowControl/>
        <w:spacing w:after="120" w:line="360" w:lineRule="auto"/>
        <w:jc w:val="left"/>
        <w:rPr>
          <w:rFonts w:ascii="宋体" w:hAnsi="宋体"/>
          <w:sz w:val="24"/>
          <w:lang w:val="zh-CN"/>
        </w:rPr>
      </w:pPr>
      <w:r>
        <w:rPr>
          <w:rFonts w:hint="eastAsia" w:ascii="宋体" w:hAnsi="宋体"/>
          <w:sz w:val="24"/>
          <w:lang w:val="zh-CN"/>
        </w:rPr>
        <w:t>（1）固定折扣率：</w:t>
      </w:r>
      <w:r>
        <w:rPr>
          <w:rFonts w:hint="eastAsia" w:ascii="宋体" w:hAnsi="宋体"/>
          <w:sz w:val="24"/>
        </w:rPr>
        <w:t>要求针对所有采购内容报出统一的固定折扣率，根据采购</w:t>
      </w:r>
      <w:r>
        <w:rPr>
          <w:rFonts w:hint="eastAsia" w:ascii="宋体" w:hAnsi="宋体"/>
          <w:sz w:val="24"/>
          <w:lang w:val="zh-CN"/>
        </w:rPr>
        <w:t>人采购需求表中的采购</w:t>
      </w:r>
      <w:r>
        <w:rPr>
          <w:rFonts w:hint="eastAsia" w:ascii="宋体" w:hAnsi="宋体"/>
          <w:sz w:val="24"/>
        </w:rPr>
        <w:t>参考</w:t>
      </w:r>
      <w:r>
        <w:rPr>
          <w:rFonts w:hint="eastAsia" w:ascii="宋体" w:hAnsi="宋体"/>
          <w:sz w:val="24"/>
          <w:lang w:val="zh-CN"/>
        </w:rPr>
        <w:t>单价</w:t>
      </w:r>
      <w:r>
        <w:rPr>
          <w:rFonts w:hint="eastAsia" w:ascii="宋体" w:hAnsi="宋体"/>
          <w:sz w:val="24"/>
        </w:rPr>
        <w:t>由各供应商</w:t>
      </w:r>
      <w:r>
        <w:rPr>
          <w:rFonts w:hint="eastAsia" w:ascii="宋体" w:hAnsi="宋体"/>
          <w:sz w:val="24"/>
          <w:lang w:val="zh-CN"/>
        </w:rPr>
        <w:t>自行</w:t>
      </w:r>
      <w:r>
        <w:rPr>
          <w:rFonts w:hint="eastAsia" w:ascii="宋体" w:hAnsi="宋体"/>
          <w:sz w:val="24"/>
        </w:rPr>
        <w:t>报出固定折扣率，要求为百分比，保留到小数点后两位（如98.32%）</w:t>
      </w:r>
      <w:r>
        <w:rPr>
          <w:rFonts w:hint="eastAsia" w:ascii="宋体" w:hAnsi="宋体"/>
          <w:sz w:val="24"/>
          <w:lang w:val="zh-CN"/>
        </w:rPr>
        <w:t>。</w:t>
      </w:r>
    </w:p>
    <w:p>
      <w:pPr>
        <w:widowControl/>
        <w:spacing w:after="120" w:line="360" w:lineRule="auto"/>
        <w:jc w:val="left"/>
        <w:rPr>
          <w:rFonts w:ascii="宋体" w:hAnsi="宋体"/>
          <w:sz w:val="24"/>
          <w:lang w:val="zh-CN"/>
        </w:rPr>
      </w:pPr>
      <w:r>
        <w:rPr>
          <w:rFonts w:hint="eastAsia" w:ascii="宋体" w:hAnsi="宋体"/>
          <w:sz w:val="24"/>
          <w:lang w:val="zh-CN"/>
        </w:rPr>
        <w:t>（2）各设备最终</w:t>
      </w:r>
      <w:r>
        <w:rPr>
          <w:rFonts w:hint="eastAsia" w:ascii="宋体" w:hAnsi="宋体"/>
          <w:sz w:val="24"/>
        </w:rPr>
        <w:t>结算</w:t>
      </w:r>
      <w:r>
        <w:rPr>
          <w:rFonts w:hint="eastAsia" w:ascii="宋体" w:hAnsi="宋体"/>
          <w:sz w:val="24"/>
          <w:lang w:val="zh-CN"/>
        </w:rPr>
        <w:t>单价=采购需求中所列单价*所报固定折扣率。</w:t>
      </w:r>
    </w:p>
    <w:p>
      <w:pPr>
        <w:widowControl/>
        <w:spacing w:after="120" w:line="360" w:lineRule="auto"/>
        <w:jc w:val="left"/>
        <w:rPr>
          <w:sz w:val="24"/>
        </w:rPr>
      </w:pPr>
      <w:r>
        <w:rPr>
          <w:rFonts w:hint="eastAsia" w:ascii="宋体" w:hAnsi="宋体"/>
          <w:sz w:val="24"/>
          <w:lang w:val="zh-CN"/>
        </w:rPr>
        <w:t>（3）例如：《ABC灭火器》（</w:t>
      </w:r>
      <w:r>
        <w:rPr>
          <w:rFonts w:hint="eastAsia" w:ascii="宋体" w:hAnsi="宋体" w:cs="宋体"/>
          <w:sz w:val="24"/>
        </w:rPr>
        <w:t>5kg</w:t>
      </w:r>
      <w:r>
        <w:rPr>
          <w:rFonts w:hint="eastAsia" w:ascii="宋体" w:hAnsi="宋体"/>
          <w:sz w:val="24"/>
          <w:lang w:val="zh-CN"/>
        </w:rPr>
        <w:t>）最终</w:t>
      </w:r>
      <w:r>
        <w:rPr>
          <w:rFonts w:hint="eastAsia" w:ascii="宋体" w:hAnsi="宋体"/>
          <w:sz w:val="24"/>
        </w:rPr>
        <w:t>结算</w:t>
      </w:r>
      <w:r>
        <w:rPr>
          <w:rFonts w:hint="eastAsia" w:ascii="宋体" w:hAnsi="宋体"/>
          <w:sz w:val="24"/>
          <w:lang w:val="zh-CN"/>
        </w:rPr>
        <w:t>单价</w:t>
      </w:r>
      <w:r>
        <w:rPr>
          <w:rFonts w:hint="eastAsia" w:ascii="宋体" w:hAnsi="宋体"/>
          <w:sz w:val="24"/>
        </w:rPr>
        <w:t>32.01元</w:t>
      </w:r>
      <w:r>
        <w:rPr>
          <w:rFonts w:hint="eastAsia" w:ascii="宋体" w:hAnsi="宋体"/>
          <w:sz w:val="24"/>
          <w:lang w:val="zh-CN"/>
        </w:rPr>
        <w:t>=33元（采购需求中所列单价）*固定折扣率</w:t>
      </w:r>
      <w:r>
        <w:rPr>
          <w:rFonts w:hint="eastAsia" w:ascii="宋体" w:hAnsi="宋体"/>
          <w:sz w:val="24"/>
        </w:rPr>
        <w:t>97%</w:t>
      </w:r>
      <w:r>
        <w:rPr>
          <w:rFonts w:hint="eastAsia" w:ascii="宋体" w:hAnsi="宋体"/>
          <w:sz w:val="24"/>
          <w:lang w:val="zh-CN"/>
        </w:rPr>
        <w:t>（</w:t>
      </w:r>
      <w:r>
        <w:rPr>
          <w:rFonts w:hint="eastAsia" w:ascii="宋体" w:hAnsi="宋体"/>
          <w:sz w:val="24"/>
        </w:rPr>
        <w:t>供应商</w:t>
      </w:r>
      <w:r>
        <w:rPr>
          <w:rFonts w:hint="eastAsia" w:ascii="宋体" w:hAnsi="宋体"/>
          <w:sz w:val="24"/>
          <w:lang w:val="zh-CN"/>
        </w:rPr>
        <w:t>所报）。</w:t>
      </w:r>
    </w:p>
    <w:p>
      <w:pPr>
        <w:rPr>
          <w:rFonts w:ascii="宋体" w:hAnsi="宋体"/>
          <w:b/>
          <w:sz w:val="36"/>
          <w:szCs w:val="36"/>
        </w:rPr>
      </w:pPr>
      <w:r>
        <w:rPr>
          <w:rFonts w:ascii="宋体" w:hAnsi="宋体"/>
          <w:b/>
          <w:sz w:val="36"/>
          <w:szCs w:val="36"/>
        </w:rPr>
        <w:br w:type="page"/>
      </w:r>
    </w:p>
    <w:p>
      <w:pPr>
        <w:spacing w:line="360" w:lineRule="auto"/>
        <w:jc w:val="center"/>
        <w:outlineLvl w:val="0"/>
        <w:rPr>
          <w:rFonts w:ascii="宋体" w:hAnsi="宋体"/>
          <w:b/>
          <w:sz w:val="36"/>
          <w:szCs w:val="36"/>
        </w:rPr>
      </w:pPr>
      <w:r>
        <w:rPr>
          <w:rFonts w:ascii="宋体" w:hAnsi="宋体"/>
          <w:b/>
          <w:sz w:val="36"/>
          <w:szCs w:val="36"/>
        </w:rPr>
        <w:t>第</w:t>
      </w:r>
      <w:r>
        <w:rPr>
          <w:rFonts w:hint="eastAsia" w:ascii="宋体" w:hAnsi="宋体"/>
          <w:b/>
          <w:sz w:val="36"/>
          <w:szCs w:val="36"/>
        </w:rPr>
        <w:t>五</w:t>
      </w:r>
      <w:r>
        <w:rPr>
          <w:rFonts w:ascii="宋体" w:hAnsi="宋体"/>
          <w:b/>
          <w:sz w:val="36"/>
          <w:szCs w:val="36"/>
        </w:rPr>
        <w:t>章  拟签订的合同文本</w:t>
      </w:r>
      <w:bookmarkEnd w:id="667"/>
      <w:bookmarkEnd w:id="668"/>
    </w:p>
    <w:p>
      <w:pPr>
        <w:jc w:val="center"/>
        <w:rPr>
          <w:rFonts w:ascii="宋体" w:hAnsi="宋体"/>
        </w:rPr>
      </w:pPr>
      <w:r>
        <w:rPr>
          <w:rFonts w:hint="eastAsia" w:ascii="宋体" w:hAnsi="宋体"/>
        </w:rPr>
        <w:t>（以实际签订为准）</w:t>
      </w:r>
    </w:p>
    <w:p>
      <w:pPr>
        <w:snapToGrid w:val="0"/>
        <w:spacing w:before="119" w:line="326" w:lineRule="auto"/>
        <w:jc w:val="left"/>
      </w:pPr>
      <w:r>
        <w:rPr>
          <w:rFonts w:hint="eastAsia"/>
        </w:rPr>
        <w:t>校内项目编号</w:t>
      </w:r>
      <w:r>
        <w:t>：</w:t>
      </w:r>
    </w:p>
    <w:p/>
    <w:p>
      <w:pPr>
        <w:snapToGrid w:val="0"/>
        <w:spacing w:before="119" w:line="351" w:lineRule="atLeast"/>
        <w:rPr>
          <w:rFonts w:ascii="宋体" w:hAnsi="宋体"/>
          <w:sz w:val="28"/>
          <w:szCs w:val="28"/>
        </w:rPr>
      </w:pPr>
    </w:p>
    <w:p>
      <w:pPr>
        <w:pStyle w:val="4"/>
        <w:snapToGrid w:val="0"/>
        <w:spacing w:line="288" w:lineRule="auto"/>
        <w:rPr>
          <w:sz w:val="48"/>
          <w:szCs w:val="48"/>
        </w:rPr>
      </w:pPr>
      <w:bookmarkStart w:id="669" w:name="_Toc23109"/>
      <w:r>
        <w:rPr>
          <w:rFonts w:hint="eastAsia"/>
          <w:sz w:val="48"/>
          <w:szCs w:val="48"/>
        </w:rPr>
        <w:t xml:space="preserve">货 物 </w:t>
      </w:r>
      <w:r>
        <w:rPr>
          <w:sz w:val="48"/>
          <w:szCs w:val="48"/>
        </w:rPr>
        <w:t>采</w:t>
      </w:r>
      <w:r>
        <w:rPr>
          <w:rFonts w:hint="eastAsia"/>
          <w:sz w:val="48"/>
          <w:szCs w:val="48"/>
        </w:rPr>
        <w:t xml:space="preserve"> </w:t>
      </w:r>
      <w:r>
        <w:rPr>
          <w:sz w:val="48"/>
          <w:szCs w:val="48"/>
        </w:rPr>
        <w:t>购</w:t>
      </w:r>
      <w:r>
        <w:rPr>
          <w:rFonts w:hint="eastAsia"/>
          <w:sz w:val="48"/>
          <w:szCs w:val="48"/>
        </w:rPr>
        <w:t xml:space="preserve"> </w:t>
      </w:r>
      <w:r>
        <w:rPr>
          <w:sz w:val="48"/>
          <w:szCs w:val="48"/>
        </w:rPr>
        <w:t>合</w:t>
      </w:r>
      <w:r>
        <w:rPr>
          <w:rFonts w:hint="eastAsia"/>
          <w:sz w:val="48"/>
          <w:szCs w:val="48"/>
        </w:rPr>
        <w:t xml:space="preserve"> </w:t>
      </w:r>
      <w:r>
        <w:rPr>
          <w:sz w:val="48"/>
          <w:szCs w:val="48"/>
        </w:rPr>
        <w:t>同</w:t>
      </w:r>
      <w:bookmarkEnd w:id="669"/>
    </w:p>
    <w:p>
      <w:pPr>
        <w:pStyle w:val="4"/>
        <w:snapToGrid w:val="0"/>
        <w:spacing w:before="0" w:after="0" w:line="288" w:lineRule="auto"/>
        <w:rPr>
          <w:rFonts w:ascii="华文楷体" w:hAnsi="华文楷体" w:eastAsia="华文楷体"/>
          <w:szCs w:val="32"/>
        </w:rPr>
      </w:pPr>
      <w:bookmarkStart w:id="670" w:name="_Toc12128"/>
      <w:r>
        <w:rPr>
          <w:rFonts w:ascii="华文楷体" w:hAnsi="华文楷体" w:eastAsia="华文楷体"/>
          <w:szCs w:val="32"/>
        </w:rPr>
        <w:t>（</w:t>
      </w:r>
      <w:r>
        <w:rPr>
          <w:rFonts w:hint="eastAsia" w:ascii="华文楷体" w:hAnsi="华文楷体" w:eastAsia="华文楷体"/>
          <w:szCs w:val="32"/>
        </w:rPr>
        <w:t>国产和进口非免税</w:t>
      </w:r>
      <w:r>
        <w:rPr>
          <w:rFonts w:ascii="华文楷体" w:hAnsi="华文楷体" w:eastAsia="华文楷体"/>
          <w:szCs w:val="32"/>
        </w:rPr>
        <w:t>）</w:t>
      </w:r>
      <w:bookmarkEnd w:id="670"/>
    </w:p>
    <w:p>
      <w:pPr>
        <w:pStyle w:val="4"/>
        <w:snapToGrid w:val="0"/>
        <w:spacing w:before="0" w:after="0" w:line="288" w:lineRule="auto"/>
        <w:rPr>
          <w:rFonts w:ascii="华文楷体" w:hAnsi="华文楷体" w:eastAsia="华文楷体"/>
          <w:szCs w:val="32"/>
        </w:rPr>
      </w:pPr>
      <w:bookmarkStart w:id="671" w:name="_Toc32374"/>
      <w:r>
        <w:rPr>
          <w:rFonts w:ascii="华文楷体" w:hAnsi="华文楷体" w:eastAsia="华文楷体"/>
          <w:szCs w:val="32"/>
        </w:rPr>
        <w:t>（</w:t>
      </w:r>
      <w:r>
        <w:rPr>
          <w:rFonts w:hint="eastAsia" w:ascii="华文楷体" w:hAnsi="华文楷体" w:eastAsia="华文楷体"/>
          <w:szCs w:val="32"/>
        </w:rPr>
        <w:t>项目采购</w:t>
      </w:r>
      <w:r>
        <w:rPr>
          <w:rFonts w:ascii="华文楷体" w:hAnsi="华文楷体" w:eastAsia="华文楷体"/>
          <w:szCs w:val="32"/>
        </w:rPr>
        <w:t>）</w:t>
      </w:r>
      <w:bookmarkEnd w:id="671"/>
    </w:p>
    <w:p>
      <w:pPr>
        <w:pStyle w:val="4"/>
        <w:snapToGrid w:val="0"/>
        <w:spacing w:line="304" w:lineRule="auto"/>
        <w:jc w:val="right"/>
      </w:pPr>
      <w:r>
        <w:rPr>
          <w:rFonts w:ascii="仿宋_GB2312" w:eastAsia="仿宋_GB2312"/>
          <w:b w:val="0"/>
          <w:sz w:val="24"/>
        </w:rPr>
        <w:t xml:space="preserve">               </w:t>
      </w:r>
    </w:p>
    <w:p>
      <w:pPr>
        <w:pStyle w:val="4"/>
        <w:snapToGrid w:val="0"/>
        <w:spacing w:line="292" w:lineRule="auto"/>
        <w:rPr>
          <w:rFonts w:hAnsi="宋体"/>
          <w:sz w:val="21"/>
          <w:szCs w:val="21"/>
        </w:rPr>
      </w:pPr>
      <w:r>
        <w:rPr>
          <w:rFonts w:ascii="仿宋_GB2312" w:eastAsia="仿宋_GB2312"/>
          <w:b w:val="0"/>
          <w:sz w:val="24"/>
        </w:rPr>
        <w:t xml:space="preserve">                                     </w:t>
      </w:r>
      <w:r>
        <w:rPr>
          <w:rFonts w:hAnsi="宋体"/>
          <w:b w:val="0"/>
          <w:sz w:val="21"/>
          <w:szCs w:val="21"/>
        </w:rPr>
        <w:t xml:space="preserve"> </w:t>
      </w:r>
    </w:p>
    <w:p>
      <w:pPr>
        <w:snapToGrid w:val="0"/>
        <w:spacing w:before="119" w:line="272" w:lineRule="atLeast"/>
        <w:ind w:left="958"/>
        <w:rPr>
          <w:rFonts w:ascii="宋体" w:hAnsi="宋体"/>
          <w:sz w:val="28"/>
          <w:szCs w:val="28"/>
        </w:rPr>
      </w:pPr>
      <w:r>
        <w:rPr>
          <w:rFonts w:hint="eastAsia" w:ascii="宋体" w:hAnsi="宋体"/>
          <w:sz w:val="28"/>
          <w:szCs w:val="28"/>
        </w:rPr>
        <w:t>项目</w:t>
      </w:r>
      <w:r>
        <w:rPr>
          <w:rFonts w:ascii="宋体" w:hAnsi="宋体"/>
          <w:sz w:val="28"/>
          <w:szCs w:val="28"/>
        </w:rPr>
        <w:t>名称：</w:t>
      </w:r>
      <w:r>
        <w:rPr>
          <w:rFonts w:hint="eastAsia" w:ascii="宋体" w:hAnsi="宋体"/>
          <w:sz w:val="28"/>
          <w:szCs w:val="28"/>
          <w:u w:val="single"/>
        </w:rPr>
        <w:t xml:space="preserve"> </w:t>
      </w:r>
      <w:r>
        <w:rPr>
          <w:rFonts w:ascii="宋体" w:hAnsi="宋体"/>
          <w:sz w:val="28"/>
          <w:szCs w:val="28"/>
          <w:u w:val="single"/>
        </w:rPr>
        <w:t xml:space="preserve">                                   </w:t>
      </w:r>
    </w:p>
    <w:p>
      <w:pPr>
        <w:snapToGrid w:val="0"/>
        <w:spacing w:before="119" w:line="272" w:lineRule="atLeast"/>
        <w:ind w:left="958"/>
        <w:rPr>
          <w:rFonts w:ascii="宋体" w:hAnsi="宋体"/>
          <w:sz w:val="28"/>
          <w:szCs w:val="28"/>
        </w:rPr>
      </w:pPr>
      <w:r>
        <w:rPr>
          <w:rFonts w:hint="eastAsia" w:ascii="宋体" w:hAnsi="宋体"/>
          <w:sz w:val="28"/>
          <w:szCs w:val="28"/>
        </w:rPr>
        <w:t xml:space="preserve"> </w:t>
      </w:r>
    </w:p>
    <w:p>
      <w:pPr>
        <w:snapToGrid w:val="0"/>
        <w:spacing w:before="119" w:line="272" w:lineRule="atLeast"/>
        <w:ind w:left="958"/>
        <w:rPr>
          <w:rFonts w:ascii="宋体" w:hAnsi="宋体"/>
          <w:sz w:val="28"/>
          <w:szCs w:val="28"/>
        </w:rPr>
      </w:pPr>
      <w:r>
        <w:rPr>
          <w:rFonts w:ascii="宋体" w:hAnsi="宋体"/>
          <w:sz w:val="28"/>
          <w:szCs w:val="28"/>
        </w:rPr>
        <w:t>货物名称：</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灭火器检修及消防器材购置 </w:t>
      </w:r>
      <w:r>
        <w:rPr>
          <w:rFonts w:ascii="宋体" w:hAnsi="宋体"/>
          <w:sz w:val="28"/>
          <w:szCs w:val="28"/>
          <w:u w:val="single"/>
        </w:rPr>
        <w:t xml:space="preserve">       </w:t>
      </w:r>
    </w:p>
    <w:p>
      <w:pPr>
        <w:snapToGrid w:val="0"/>
        <w:spacing w:before="119" w:line="272" w:lineRule="atLeast"/>
        <w:ind w:left="958"/>
        <w:rPr>
          <w:rFonts w:ascii="宋体" w:hAnsi="宋体"/>
          <w:sz w:val="28"/>
          <w:szCs w:val="28"/>
        </w:rPr>
      </w:pPr>
    </w:p>
    <w:p>
      <w:pPr>
        <w:snapToGrid w:val="0"/>
        <w:spacing w:before="119" w:line="272" w:lineRule="atLeast"/>
        <w:rPr>
          <w:rFonts w:ascii="宋体" w:hAnsi="宋体"/>
          <w:sz w:val="28"/>
          <w:szCs w:val="28"/>
        </w:rPr>
      </w:pPr>
    </w:p>
    <w:p>
      <w:pPr>
        <w:snapToGrid w:val="0"/>
        <w:spacing w:before="119" w:line="272" w:lineRule="atLeast"/>
        <w:ind w:left="958"/>
        <w:rPr>
          <w:rFonts w:ascii="宋体" w:hAnsi="宋体"/>
          <w:sz w:val="28"/>
          <w:szCs w:val="28"/>
        </w:rPr>
      </w:pPr>
      <w:r>
        <w:rPr>
          <w:rFonts w:ascii="宋体" w:hAnsi="宋体"/>
          <w:sz w:val="28"/>
          <w:szCs w:val="28"/>
        </w:rPr>
        <w:t>买　　方：</w:t>
      </w:r>
      <w:r>
        <w:rPr>
          <w:rFonts w:ascii="宋体" w:hAnsi="宋体"/>
          <w:sz w:val="28"/>
          <w:szCs w:val="28"/>
          <w:u w:val="single"/>
        </w:rPr>
        <w:t xml:space="preserve"> </w:t>
      </w:r>
      <w:r>
        <w:rPr>
          <w:rFonts w:hint="eastAsia" w:ascii="宋体" w:hAnsi="宋体"/>
          <w:sz w:val="28"/>
          <w:szCs w:val="28"/>
          <w:u w:val="single"/>
        </w:rPr>
        <w:t xml:space="preserve">      首都师范大学                 </w:t>
      </w:r>
    </w:p>
    <w:p>
      <w:pPr>
        <w:snapToGrid w:val="0"/>
        <w:spacing w:before="119" w:line="272" w:lineRule="atLeast"/>
        <w:ind w:left="958"/>
        <w:rPr>
          <w:rFonts w:ascii="宋体" w:hAnsi="宋体"/>
          <w:sz w:val="28"/>
          <w:szCs w:val="28"/>
        </w:rPr>
      </w:pPr>
      <w:r>
        <w:rPr>
          <w:rFonts w:ascii="宋体" w:hAnsi="宋体"/>
          <w:sz w:val="28"/>
          <w:szCs w:val="28"/>
        </w:rPr>
        <w:t xml:space="preserve">  </w:t>
      </w:r>
    </w:p>
    <w:p>
      <w:pPr>
        <w:snapToGrid w:val="0"/>
        <w:spacing w:before="119" w:line="272" w:lineRule="atLeast"/>
        <w:ind w:left="958"/>
        <w:rPr>
          <w:rFonts w:ascii="宋体" w:hAnsi="宋体"/>
          <w:sz w:val="28"/>
          <w:szCs w:val="28"/>
        </w:rPr>
      </w:pPr>
      <w:r>
        <w:rPr>
          <w:rFonts w:ascii="宋体" w:hAnsi="宋体"/>
          <w:sz w:val="28"/>
          <w:szCs w:val="28"/>
        </w:rPr>
        <w:t>卖　　方：</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napToGrid w:val="0"/>
        <w:spacing w:before="119" w:line="272" w:lineRule="atLeast"/>
        <w:rPr>
          <w:rFonts w:ascii="宋体" w:hAnsi="宋体"/>
          <w:sz w:val="28"/>
          <w:szCs w:val="28"/>
        </w:rPr>
      </w:pPr>
      <w:r>
        <w:rPr>
          <w:rFonts w:ascii="宋体" w:hAnsi="宋体"/>
          <w:sz w:val="28"/>
          <w:szCs w:val="28"/>
        </w:rPr>
        <w:t xml:space="preserve"> </w:t>
      </w:r>
    </w:p>
    <w:p>
      <w:pPr>
        <w:snapToGrid w:val="0"/>
        <w:spacing w:before="119" w:line="272" w:lineRule="atLeast"/>
        <w:ind w:left="958"/>
        <w:jc w:val="center"/>
        <w:rPr>
          <w:rFonts w:ascii="宋体" w:hAnsi="宋体"/>
          <w:sz w:val="28"/>
          <w:szCs w:val="28"/>
        </w:rPr>
      </w:pPr>
    </w:p>
    <w:p>
      <w:pPr>
        <w:snapToGrid w:val="0"/>
        <w:spacing w:before="119" w:line="272" w:lineRule="atLeast"/>
        <w:ind w:left="958"/>
        <w:jc w:val="center"/>
        <w:rPr>
          <w:rFonts w:ascii="宋体" w:hAnsi="宋体"/>
          <w:sz w:val="28"/>
          <w:szCs w:val="28"/>
        </w:rPr>
      </w:pPr>
    </w:p>
    <w:p>
      <w:pPr>
        <w:snapToGrid w:val="0"/>
        <w:spacing w:before="119" w:line="272" w:lineRule="atLeast"/>
        <w:ind w:left="958"/>
        <w:rPr>
          <w:rFonts w:ascii="宋体" w:hAnsi="宋体"/>
          <w:sz w:val="28"/>
          <w:szCs w:val="28"/>
          <w:u w:val="single"/>
        </w:rPr>
      </w:pPr>
      <w:r>
        <w:rPr>
          <w:rFonts w:ascii="宋体" w:hAnsi="宋体"/>
          <w:sz w:val="28"/>
          <w:szCs w:val="28"/>
        </w:rPr>
        <w:t>签署日期：</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2023  年</w:t>
      </w:r>
      <w:r>
        <w:rPr>
          <w:rFonts w:hint="eastAsia" w:ascii="宋体" w:hAnsi="宋体"/>
          <w:sz w:val="28"/>
          <w:szCs w:val="28"/>
          <w:u w:val="single"/>
        </w:rPr>
        <w:t xml:space="preserve"> </w:t>
      </w:r>
      <w:r>
        <w:rPr>
          <w:rFonts w:ascii="宋体" w:hAnsi="宋体"/>
          <w:sz w:val="28"/>
          <w:szCs w:val="28"/>
          <w:u w:val="single"/>
        </w:rPr>
        <w:t xml:space="preserve">   月     日 </w:t>
      </w:r>
    </w:p>
    <w:p>
      <w:pPr>
        <w:snapToGrid w:val="0"/>
        <w:spacing w:before="119" w:line="272" w:lineRule="atLeast"/>
        <w:ind w:left="958"/>
        <w:rPr>
          <w:rFonts w:ascii="宋体" w:hAnsi="宋体"/>
          <w:sz w:val="28"/>
          <w:szCs w:val="28"/>
          <w:u w:val="single"/>
        </w:rPr>
      </w:pPr>
      <w:r>
        <w:rPr>
          <w:rFonts w:hint="eastAsia" w:ascii="宋体" w:hAnsi="宋体"/>
          <w:sz w:val="28"/>
          <w:szCs w:val="28"/>
        </w:rPr>
        <w:t>签署地点：</w:t>
      </w:r>
      <w:r>
        <w:rPr>
          <w:rFonts w:hint="eastAsia" w:ascii="宋体" w:hAnsi="宋体"/>
          <w:sz w:val="28"/>
          <w:szCs w:val="28"/>
          <w:u w:val="single"/>
        </w:rPr>
        <w:t xml:space="preserve">       北京市海淀区      </w:t>
      </w:r>
    </w:p>
    <w:p>
      <w:pPr>
        <w:snapToGrid w:val="0"/>
        <w:spacing w:before="119" w:line="272" w:lineRule="atLeast"/>
        <w:ind w:left="958"/>
        <w:rPr>
          <w:rFonts w:ascii="宋体" w:hAnsi="宋体"/>
          <w:szCs w:val="21"/>
        </w:rPr>
      </w:pPr>
      <w:r>
        <w:rPr>
          <w:rFonts w:ascii="宋体" w:hAnsi="宋体"/>
          <w:szCs w:val="21"/>
        </w:rPr>
        <w:t xml:space="preserve">                   </w:t>
      </w:r>
    </w:p>
    <w:p>
      <w:pPr>
        <w:snapToGrid w:val="0"/>
        <w:spacing w:before="119" w:line="272" w:lineRule="atLeast"/>
        <w:ind w:left="958"/>
        <w:rPr>
          <w:rFonts w:ascii="宋体" w:hAnsi="宋体"/>
          <w:szCs w:val="21"/>
        </w:rPr>
      </w:pPr>
    </w:p>
    <w:p>
      <w:pPr>
        <w:snapToGrid w:val="0"/>
        <w:spacing w:before="119" w:line="272" w:lineRule="atLeast"/>
        <w:ind w:left="958"/>
        <w:rPr>
          <w:rFonts w:ascii="宋体" w:hAnsi="宋体"/>
          <w:szCs w:val="21"/>
        </w:rPr>
      </w:pPr>
    </w:p>
    <w:p>
      <w:pPr>
        <w:snapToGrid w:val="0"/>
        <w:spacing w:before="119" w:line="272" w:lineRule="atLeast"/>
        <w:ind w:left="958"/>
        <w:rPr>
          <w:rFonts w:ascii="宋体" w:hAnsi="宋体"/>
          <w:szCs w:val="21"/>
        </w:rPr>
      </w:pPr>
    </w:p>
    <w:p>
      <w:pPr>
        <w:snapToGrid w:val="0"/>
        <w:spacing w:before="119" w:line="272" w:lineRule="atLeast"/>
        <w:ind w:left="958"/>
        <w:rPr>
          <w:rFonts w:ascii="宋体" w:hAnsi="宋体"/>
          <w:szCs w:val="21"/>
        </w:rPr>
      </w:pPr>
    </w:p>
    <w:p>
      <w:pPr>
        <w:snapToGrid w:val="0"/>
        <w:spacing w:before="119" w:line="272" w:lineRule="atLeast"/>
        <w:ind w:left="958"/>
        <w:jc w:val="center"/>
        <w:rPr>
          <w:rFonts w:ascii="宋体" w:hAnsi="宋体"/>
          <w:sz w:val="28"/>
          <w:szCs w:val="28"/>
        </w:rPr>
      </w:pPr>
      <w:r>
        <w:rPr>
          <w:rFonts w:ascii="宋体" w:hAnsi="宋体"/>
          <w:b/>
          <w:sz w:val="28"/>
          <w:szCs w:val="28"/>
        </w:rPr>
        <w:t>合　　　同</w:t>
      </w:r>
    </w:p>
    <w:p>
      <w:pPr>
        <w:snapToGrid w:val="0"/>
        <w:spacing w:before="119" w:line="289" w:lineRule="atLeast"/>
      </w:pPr>
    </w:p>
    <w:p>
      <w:pPr>
        <w:snapToGrid w:val="0"/>
        <w:spacing w:before="119" w:line="476" w:lineRule="atLeast"/>
        <w:ind w:firstLine="719"/>
        <w:rPr>
          <w:rFonts w:ascii="宋体" w:hAnsi="宋体"/>
          <w:szCs w:val="21"/>
        </w:rPr>
      </w:pPr>
      <w:r>
        <w:rPr>
          <w:rFonts w:ascii="宋体" w:hAnsi="宋体"/>
          <w:szCs w:val="21"/>
          <w:u w:val="single"/>
        </w:rPr>
        <w:t xml:space="preserve"> </w:t>
      </w:r>
      <w:r>
        <w:rPr>
          <w:rFonts w:hint="eastAsia" w:ascii="宋体" w:hAnsi="宋体"/>
          <w:szCs w:val="21"/>
          <w:u w:val="single"/>
        </w:rPr>
        <w:t>首都师范大学</w:t>
      </w:r>
      <w:r>
        <w:rPr>
          <w:rFonts w:ascii="宋体" w:hAnsi="宋体"/>
          <w:szCs w:val="21"/>
          <w:u w:val="single"/>
        </w:rPr>
        <w:t xml:space="preserve"> </w:t>
      </w:r>
      <w:r>
        <w:rPr>
          <w:rFonts w:ascii="宋体" w:hAnsi="宋体"/>
          <w:szCs w:val="21"/>
        </w:rPr>
        <w:t>(买方)</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(项目名称)中所需</w:t>
      </w:r>
      <w:r>
        <w:rPr>
          <w:rFonts w:hint="eastAsia" w:ascii="宋体" w:hAnsi="宋体"/>
          <w:szCs w:val="21"/>
          <w:u w:val="single"/>
        </w:rPr>
        <w:t xml:space="preserve"> 灭火器检修及消防器材购置 </w:t>
      </w:r>
      <w:r>
        <w:rPr>
          <w:rFonts w:ascii="宋体" w:hAnsi="宋体"/>
          <w:szCs w:val="21"/>
        </w:rPr>
        <w:t>(货物名称)</w:t>
      </w:r>
      <w:r>
        <w:rPr>
          <w:rFonts w:hint="eastAsia" w:ascii="宋体" w:hAnsi="宋体"/>
          <w:szCs w:val="21"/>
          <w:u w:val="single"/>
        </w:rPr>
        <w:t xml:space="preserve"> 首都师范大学  </w:t>
      </w:r>
      <w:r>
        <w:rPr>
          <w:rFonts w:hint="eastAsia" w:ascii="宋体" w:hAnsi="宋体"/>
          <w:szCs w:val="21"/>
        </w:rPr>
        <w:t xml:space="preserve"> </w:t>
      </w:r>
      <w:r>
        <w:rPr>
          <w:rFonts w:ascii="宋体" w:hAnsi="宋体"/>
          <w:szCs w:val="21"/>
        </w:rPr>
        <w:t>(招标人)以</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号</w:t>
      </w:r>
      <w:r>
        <w:rPr>
          <w:rFonts w:hint="eastAsia" w:ascii="宋体" w:hAnsi="宋体"/>
          <w:szCs w:val="21"/>
        </w:rPr>
        <w:t>进行比选</w:t>
      </w:r>
      <w:r>
        <w:rPr>
          <w:rFonts w:ascii="宋体" w:hAnsi="宋体"/>
          <w:szCs w:val="21"/>
        </w:rPr>
        <w:t>。经评标委员会评定</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(卖方)为中标人。买、卖双方依据《中华人民共和国政府采购法》、《中华人民共和国</w:t>
      </w:r>
      <w:r>
        <w:rPr>
          <w:rFonts w:hint="eastAsia" w:ascii="宋体" w:hAnsi="宋体"/>
          <w:szCs w:val="21"/>
        </w:rPr>
        <w:t>民法典</w:t>
      </w:r>
      <w:r>
        <w:rPr>
          <w:rFonts w:ascii="宋体" w:hAnsi="宋体"/>
          <w:szCs w:val="21"/>
        </w:rPr>
        <w:t>》，在平等自愿的基础上，同意按照下面的条款和条件，签署本合同。</w:t>
      </w:r>
    </w:p>
    <w:p>
      <w:pPr>
        <w:numPr>
          <w:ilvl w:val="0"/>
          <w:numId w:val="11"/>
        </w:numPr>
        <w:snapToGrid w:val="0"/>
        <w:spacing w:before="238" w:line="419" w:lineRule="atLeast"/>
        <w:rPr>
          <w:rFonts w:ascii="宋体" w:hAnsi="宋体"/>
          <w:b/>
          <w:szCs w:val="21"/>
        </w:rPr>
      </w:pPr>
      <w:r>
        <w:rPr>
          <w:rFonts w:ascii="宋体" w:hAnsi="宋体"/>
          <w:b/>
          <w:szCs w:val="21"/>
        </w:rPr>
        <w:t>合同文件</w:t>
      </w:r>
    </w:p>
    <w:p>
      <w:pPr>
        <w:snapToGrid w:val="0"/>
        <w:spacing w:before="238" w:line="419" w:lineRule="atLeast"/>
        <w:rPr>
          <w:rFonts w:ascii="宋体" w:hAnsi="宋体"/>
          <w:szCs w:val="21"/>
        </w:rPr>
      </w:pPr>
      <w:r>
        <w:rPr>
          <w:rFonts w:hint="eastAsia" w:ascii="宋体" w:hAnsi="宋体"/>
          <w:szCs w:val="21"/>
        </w:rPr>
        <w:t xml:space="preserve">     下列文件构成本合同的组成部分，应该认为是一个整体，彼此相互解释，相互补充。组成合同的多个文件的优先支配地位的次序如下：</w:t>
      </w:r>
    </w:p>
    <w:p>
      <w:pPr>
        <w:snapToGrid w:val="0"/>
        <w:spacing w:before="119" w:line="419" w:lineRule="atLeast"/>
        <w:ind w:firstLine="538"/>
        <w:rPr>
          <w:rFonts w:ascii="宋体" w:hAnsi="宋体"/>
          <w:szCs w:val="21"/>
        </w:rPr>
      </w:pPr>
      <w:r>
        <w:rPr>
          <w:rFonts w:ascii="宋体" w:hAnsi="宋体"/>
          <w:szCs w:val="21"/>
        </w:rPr>
        <w:t>a.</w:t>
      </w:r>
      <w:r>
        <w:rPr>
          <w:rFonts w:ascii="宋体" w:hAnsi="宋体"/>
          <w:szCs w:val="21"/>
        </w:rPr>
        <w:tab/>
      </w:r>
      <w:r>
        <w:rPr>
          <w:rFonts w:ascii="宋体" w:hAnsi="宋体"/>
          <w:szCs w:val="21"/>
        </w:rPr>
        <w:t xml:space="preserve"> 本合同书　</w:t>
      </w:r>
    </w:p>
    <w:p>
      <w:pPr>
        <w:snapToGrid w:val="0"/>
        <w:spacing w:before="119" w:line="419" w:lineRule="atLeast"/>
        <w:ind w:firstLine="538"/>
        <w:rPr>
          <w:rFonts w:ascii="宋体" w:hAnsi="宋体"/>
          <w:szCs w:val="21"/>
        </w:rPr>
      </w:pPr>
      <w:r>
        <w:rPr>
          <w:rFonts w:ascii="宋体" w:hAnsi="宋体"/>
          <w:szCs w:val="21"/>
        </w:rPr>
        <w:t>b.</w:t>
      </w:r>
      <w:r>
        <w:rPr>
          <w:rFonts w:ascii="宋体" w:hAnsi="宋体"/>
          <w:szCs w:val="21"/>
        </w:rPr>
        <w:tab/>
      </w:r>
      <w:r>
        <w:rPr>
          <w:rFonts w:ascii="宋体" w:hAnsi="宋体"/>
          <w:szCs w:val="21"/>
        </w:rPr>
        <w:t xml:space="preserve"> 中标通知书</w:t>
      </w:r>
      <w:r>
        <w:rPr>
          <w:rFonts w:ascii="宋体" w:hAnsi="宋体"/>
          <w:szCs w:val="21"/>
        </w:rPr>
        <w:tab/>
      </w:r>
    </w:p>
    <w:p>
      <w:pPr>
        <w:snapToGrid w:val="0"/>
        <w:spacing w:before="119" w:line="419" w:lineRule="atLeast"/>
        <w:ind w:firstLine="538"/>
        <w:rPr>
          <w:rFonts w:ascii="宋体" w:hAnsi="宋体"/>
          <w:szCs w:val="21"/>
        </w:rPr>
      </w:pPr>
      <w:r>
        <w:rPr>
          <w:rFonts w:ascii="宋体" w:hAnsi="宋体"/>
          <w:szCs w:val="21"/>
        </w:rPr>
        <w:t>c.</w:t>
      </w:r>
      <w:r>
        <w:rPr>
          <w:rFonts w:ascii="宋体" w:hAnsi="宋体"/>
          <w:szCs w:val="21"/>
        </w:rPr>
        <w:tab/>
      </w:r>
      <w:r>
        <w:rPr>
          <w:rFonts w:ascii="宋体" w:hAnsi="宋体"/>
          <w:szCs w:val="21"/>
        </w:rPr>
        <w:t xml:space="preserve"> 协议</w:t>
      </w:r>
    </w:p>
    <w:p>
      <w:pPr>
        <w:snapToGrid w:val="0"/>
        <w:spacing w:before="119" w:line="419" w:lineRule="atLeast"/>
        <w:ind w:firstLine="538"/>
        <w:rPr>
          <w:rFonts w:ascii="宋体" w:hAnsi="宋体"/>
          <w:szCs w:val="21"/>
        </w:rPr>
      </w:pPr>
      <w:r>
        <w:rPr>
          <w:rFonts w:ascii="宋体" w:hAnsi="宋体"/>
          <w:szCs w:val="21"/>
        </w:rPr>
        <w:t>d.</w:t>
      </w:r>
      <w:r>
        <w:rPr>
          <w:rFonts w:ascii="宋体" w:hAnsi="宋体"/>
          <w:szCs w:val="21"/>
        </w:rPr>
        <w:tab/>
      </w:r>
      <w:r>
        <w:rPr>
          <w:rFonts w:ascii="宋体" w:hAnsi="宋体"/>
          <w:szCs w:val="21"/>
        </w:rPr>
        <w:t xml:space="preserve"> 投标文件</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(含澄清文件)</w:t>
      </w:r>
    </w:p>
    <w:p>
      <w:pPr>
        <w:snapToGrid w:val="0"/>
        <w:spacing w:before="119" w:after="147" w:line="419" w:lineRule="atLeast"/>
        <w:ind w:firstLine="538"/>
        <w:rPr>
          <w:rFonts w:ascii="宋体" w:hAnsi="宋体"/>
          <w:szCs w:val="21"/>
        </w:rPr>
      </w:pPr>
      <w:r>
        <w:rPr>
          <w:rFonts w:ascii="宋体" w:hAnsi="宋体"/>
          <w:szCs w:val="21"/>
        </w:rPr>
        <w:t>e.</w:t>
      </w:r>
      <w:r>
        <w:rPr>
          <w:rFonts w:ascii="宋体" w:hAnsi="宋体"/>
          <w:szCs w:val="21"/>
        </w:rPr>
        <w:tab/>
      </w:r>
      <w:r>
        <w:rPr>
          <w:rFonts w:ascii="宋体" w:hAnsi="宋体"/>
          <w:szCs w:val="21"/>
        </w:rPr>
        <w:t xml:space="preserve"> </w:t>
      </w:r>
      <w:r>
        <w:rPr>
          <w:rFonts w:hint="eastAsia" w:ascii="宋体" w:hAnsi="宋体"/>
          <w:szCs w:val="21"/>
        </w:rPr>
        <w:t>比选文件</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(含</w:t>
      </w:r>
      <w:r>
        <w:rPr>
          <w:rFonts w:hint="eastAsia" w:ascii="宋体" w:hAnsi="宋体"/>
          <w:szCs w:val="21"/>
        </w:rPr>
        <w:t>比选文件</w:t>
      </w:r>
      <w:r>
        <w:rPr>
          <w:rFonts w:ascii="宋体" w:hAnsi="宋体"/>
          <w:szCs w:val="21"/>
        </w:rPr>
        <w:t>补充通知)</w:t>
      </w:r>
    </w:p>
    <w:p>
      <w:pPr>
        <w:snapToGrid w:val="0"/>
        <w:spacing w:before="119" w:line="419" w:lineRule="atLeast"/>
        <w:rPr>
          <w:rFonts w:ascii="宋体" w:hAnsi="宋体"/>
          <w:szCs w:val="21"/>
        </w:rPr>
      </w:pPr>
      <w:r>
        <w:rPr>
          <w:rFonts w:ascii="宋体" w:hAnsi="宋体"/>
          <w:b/>
          <w:szCs w:val="21"/>
        </w:rPr>
        <w:t>2、货物和数量</w:t>
      </w:r>
    </w:p>
    <w:p>
      <w:pPr>
        <w:snapToGrid w:val="0"/>
        <w:spacing w:before="119" w:line="419" w:lineRule="atLeast"/>
        <w:ind w:firstLine="453"/>
        <w:rPr>
          <w:rFonts w:ascii="宋体" w:hAnsi="宋体"/>
          <w:szCs w:val="21"/>
        </w:rPr>
      </w:pPr>
      <w:r>
        <w:rPr>
          <w:rFonts w:ascii="宋体" w:hAnsi="宋体"/>
          <w:szCs w:val="21"/>
        </w:rPr>
        <w:t>本合同货物：</w:t>
      </w:r>
      <w:r>
        <w:rPr>
          <w:rFonts w:hint="eastAsia" w:ascii="宋体" w:hAnsi="宋体"/>
          <w:szCs w:val="21"/>
          <w:u w:val="single"/>
        </w:rPr>
        <w:t xml:space="preserve">  </w:t>
      </w:r>
      <w:r>
        <w:rPr>
          <w:rFonts w:ascii="宋体" w:hAnsi="宋体"/>
          <w:szCs w:val="21"/>
          <w:u w:val="single"/>
        </w:rPr>
        <w:t xml:space="preserve">          </w:t>
      </w:r>
    </w:p>
    <w:p>
      <w:pPr>
        <w:snapToGrid w:val="0"/>
        <w:spacing w:before="119" w:line="419" w:lineRule="atLeast"/>
        <w:ind w:firstLine="453"/>
        <w:rPr>
          <w:rFonts w:ascii="宋体" w:hAnsi="宋体"/>
          <w:szCs w:val="21"/>
        </w:rPr>
      </w:pPr>
      <w:r>
        <w:rPr>
          <w:rFonts w:ascii="宋体" w:hAnsi="宋体"/>
          <w:szCs w:val="21"/>
        </w:rPr>
        <w:t>数量：</w:t>
      </w:r>
      <w:r>
        <w:rPr>
          <w:rFonts w:hint="eastAsia" w:ascii="宋体" w:hAnsi="宋体"/>
          <w:szCs w:val="21"/>
          <w:u w:val="single"/>
        </w:rPr>
        <w:t>详见附件一、设备清单</w:t>
      </w:r>
    </w:p>
    <w:p>
      <w:pPr>
        <w:snapToGrid w:val="0"/>
        <w:spacing w:before="238" w:line="419" w:lineRule="atLeast"/>
        <w:rPr>
          <w:rFonts w:ascii="宋体" w:hAnsi="宋体"/>
          <w:szCs w:val="21"/>
        </w:rPr>
      </w:pPr>
      <w:r>
        <w:rPr>
          <w:rFonts w:ascii="宋体" w:hAnsi="宋体"/>
          <w:b/>
          <w:szCs w:val="21"/>
        </w:rPr>
        <w:t>3、合同总价</w:t>
      </w:r>
    </w:p>
    <w:p>
      <w:pPr>
        <w:snapToGrid w:val="0"/>
        <w:spacing w:before="119" w:line="419" w:lineRule="atLeast"/>
        <w:ind w:firstLine="453"/>
        <w:rPr>
          <w:rFonts w:ascii="宋体" w:hAnsi="宋体"/>
          <w:szCs w:val="21"/>
        </w:rPr>
      </w:pPr>
      <w:r>
        <w:rPr>
          <w:rFonts w:hint="eastAsia" w:ascii="宋体" w:hAnsi="宋体"/>
          <w:szCs w:val="21"/>
        </w:rPr>
        <w:t>本合同总价为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元人民币；（备注：本次灭火器检修及消防器材购置按成交折扣率</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%折扣后的单价进行结算；灭火器检修及消防器材购置总价结算不得超过</w:t>
      </w:r>
      <w:r>
        <w:rPr>
          <w:rFonts w:ascii="宋体" w:hAnsi="宋体"/>
          <w:szCs w:val="21"/>
        </w:rPr>
        <w:t>90</w:t>
      </w:r>
      <w:r>
        <w:rPr>
          <w:rFonts w:hint="eastAsia" w:ascii="宋体" w:hAnsi="宋体"/>
          <w:szCs w:val="21"/>
        </w:rPr>
        <w:t>万元合同总价金额）</w:t>
      </w:r>
    </w:p>
    <w:p>
      <w:pPr>
        <w:snapToGrid w:val="0"/>
        <w:spacing w:before="119" w:line="419" w:lineRule="atLeast"/>
        <w:ind w:firstLine="453"/>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before="119" w:line="419" w:lineRule="atLeast"/>
        <w:ind w:firstLine="453"/>
        <w:rPr>
          <w:rFonts w:ascii="宋体" w:hAnsi="宋体"/>
          <w:szCs w:val="21"/>
        </w:rPr>
      </w:pPr>
      <w:r>
        <w:rPr>
          <w:rFonts w:ascii="宋体" w:hAnsi="宋体"/>
          <w:szCs w:val="21"/>
        </w:rPr>
        <w:t>分项价格：</w:t>
      </w:r>
      <w:r>
        <w:rPr>
          <w:rFonts w:ascii="宋体" w:hAnsi="宋体"/>
          <w:szCs w:val="21"/>
          <w:u w:val="single"/>
        </w:rPr>
        <w:t>　</w:t>
      </w:r>
      <w:r>
        <w:rPr>
          <w:rFonts w:hint="eastAsia" w:ascii="宋体" w:hAnsi="宋体"/>
          <w:szCs w:val="21"/>
          <w:u w:val="single"/>
        </w:rPr>
        <w:t>详见附件一、设备清单</w:t>
      </w:r>
      <w:r>
        <w:rPr>
          <w:rFonts w:ascii="宋体" w:hAnsi="宋体"/>
          <w:szCs w:val="21"/>
          <w:u w:val="single"/>
        </w:rPr>
        <w:t>　</w:t>
      </w:r>
    </w:p>
    <w:p>
      <w:pPr>
        <w:snapToGrid w:val="0"/>
        <w:spacing w:before="238" w:line="360" w:lineRule="auto"/>
        <w:rPr>
          <w:rFonts w:ascii="宋体" w:hAnsi="宋体"/>
          <w:szCs w:val="21"/>
        </w:rPr>
      </w:pPr>
      <w:r>
        <w:rPr>
          <w:rFonts w:ascii="宋体" w:hAnsi="宋体"/>
          <w:b/>
          <w:szCs w:val="21"/>
        </w:rPr>
        <w:t>4、付款方式</w:t>
      </w:r>
    </w:p>
    <w:p>
      <w:pPr>
        <w:tabs>
          <w:tab w:val="left" w:pos="3960"/>
          <w:tab w:val="left" w:pos="4500"/>
        </w:tabs>
        <w:spacing w:line="360" w:lineRule="auto"/>
        <w:ind w:left="525" w:hanging="525" w:hangingChars="250"/>
        <w:rPr>
          <w:rFonts w:ascii="宋体" w:hAnsi="宋体"/>
          <w:szCs w:val="21"/>
        </w:rPr>
      </w:pPr>
      <w:r>
        <w:rPr>
          <w:rFonts w:ascii="宋体" w:hAnsi="宋体"/>
          <w:szCs w:val="21"/>
        </w:rPr>
        <w:t>本合同的付款方式为：</w:t>
      </w:r>
    </w:p>
    <w:p>
      <w:pPr>
        <w:spacing w:before="120" w:line="360" w:lineRule="auto"/>
        <w:ind w:firstLine="105" w:firstLineChars="5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）卖方在合同签订后七天内向买方提交合同总价</w:t>
      </w:r>
      <w:r>
        <w:rPr>
          <w:rFonts w:ascii="宋体" w:hAnsi="宋体"/>
          <w:szCs w:val="21"/>
        </w:rPr>
        <w:t>5%</w:t>
      </w:r>
      <w:r>
        <w:rPr>
          <w:rFonts w:hint="eastAsia" w:ascii="宋体" w:hAnsi="宋体"/>
          <w:szCs w:val="21"/>
        </w:rPr>
        <w:t>的履约保证金。</w:t>
      </w:r>
    </w:p>
    <w:p>
      <w:pPr>
        <w:spacing w:before="120" w:line="360" w:lineRule="auto"/>
        <w:ind w:firstLine="105" w:firstLineChars="5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）合同签订后，买方按实际需求采购，卖方按买方要求将货物</w:t>
      </w:r>
      <w:r>
        <w:rPr>
          <w:rFonts w:hint="eastAsia" w:ascii="宋体" w:hAnsi="宋体"/>
          <w:szCs w:val="21"/>
          <w:lang w:val="en-US" w:eastAsia="zh-CN"/>
        </w:rPr>
        <w:t>/检修完成后的设备</w:t>
      </w:r>
      <w:r>
        <w:rPr>
          <w:rFonts w:hint="eastAsia" w:ascii="宋体" w:hAnsi="宋体"/>
          <w:szCs w:val="21"/>
        </w:rPr>
        <w:t>送达指定地点。</w:t>
      </w:r>
      <w:r>
        <w:rPr>
          <w:rFonts w:ascii="宋体" w:hAnsi="宋体"/>
          <w:szCs w:val="21"/>
        </w:rPr>
        <w:t xml:space="preserve"> </w:t>
      </w:r>
    </w:p>
    <w:p>
      <w:pPr>
        <w:spacing w:before="120" w:line="360" w:lineRule="auto"/>
        <w:ind w:firstLine="105" w:firstLineChars="5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）结算按每批实际采购量进行结算，（结算价按折扣率</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%折扣后的单价进行结算）。</w:t>
      </w:r>
      <w:r>
        <w:rPr>
          <w:rFonts w:ascii="宋体" w:hAnsi="宋体"/>
          <w:szCs w:val="21"/>
        </w:rPr>
        <w:t xml:space="preserve"> </w:t>
      </w:r>
    </w:p>
    <w:p>
      <w:pPr>
        <w:spacing w:before="120" w:line="360" w:lineRule="auto"/>
        <w:ind w:firstLine="105" w:firstLineChars="5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 xml:space="preserve"> </w:t>
      </w:r>
      <w:r>
        <w:rPr>
          <w:rFonts w:hint="eastAsia" w:ascii="宋体" w:hAnsi="宋体"/>
          <w:szCs w:val="21"/>
        </w:rPr>
        <w:t>货物验收合格后一年无质量及服务问题，买方向卖方无息退还履约保证金。</w:t>
      </w:r>
    </w:p>
    <w:p>
      <w:pPr>
        <w:spacing w:before="120" w:line="360" w:lineRule="auto"/>
        <w:ind w:firstLine="105" w:firstLineChars="50"/>
        <w:rPr>
          <w:rFonts w:ascii="宋体" w:hAnsi="宋体"/>
          <w:szCs w:val="21"/>
        </w:rPr>
      </w:pPr>
      <w:r>
        <w:rPr>
          <w:rFonts w:ascii="宋体" w:hAnsi="宋体"/>
          <w:b/>
          <w:szCs w:val="21"/>
        </w:rPr>
        <w:t>5、本合同货物的交货时间及交货地点</w:t>
      </w:r>
    </w:p>
    <w:p>
      <w:pPr>
        <w:snapToGrid w:val="0"/>
        <w:spacing w:before="119" w:line="419" w:lineRule="atLeast"/>
        <w:ind w:firstLine="481"/>
        <w:rPr>
          <w:rFonts w:ascii="宋体" w:hAnsi="宋体"/>
          <w:szCs w:val="21"/>
        </w:rPr>
      </w:pPr>
      <w:r>
        <w:rPr>
          <w:rFonts w:ascii="宋体" w:hAnsi="宋体"/>
          <w:szCs w:val="21"/>
        </w:rPr>
        <w:t>交货时间：</w:t>
      </w:r>
      <w:r>
        <w:rPr>
          <w:rFonts w:ascii="宋体" w:hAnsi="宋体"/>
          <w:szCs w:val="21"/>
          <w:u w:val="single"/>
        </w:rPr>
        <w:t>　</w:t>
      </w:r>
      <w:r>
        <w:rPr>
          <w:rFonts w:hint="eastAsia" w:ascii="宋体" w:hAnsi="宋体"/>
          <w:szCs w:val="21"/>
          <w:u w:val="single"/>
        </w:rPr>
        <w:t xml:space="preserve">自合同签订之日起至合同有效期壹年内止  </w:t>
      </w:r>
    </w:p>
    <w:p>
      <w:pPr>
        <w:snapToGrid w:val="0"/>
        <w:spacing w:before="119" w:line="419" w:lineRule="atLeast"/>
        <w:ind w:firstLine="481"/>
        <w:rPr>
          <w:rFonts w:ascii="宋体" w:hAnsi="宋体"/>
          <w:szCs w:val="21"/>
        </w:rPr>
      </w:pPr>
      <w:r>
        <w:rPr>
          <w:rFonts w:ascii="宋体" w:hAnsi="宋体"/>
          <w:szCs w:val="21"/>
        </w:rPr>
        <w:t>交货地点：</w:t>
      </w:r>
      <w:r>
        <w:rPr>
          <w:rFonts w:ascii="宋体" w:hAnsi="宋体"/>
          <w:szCs w:val="21"/>
          <w:u w:val="single"/>
        </w:rPr>
        <w:t>　　</w:t>
      </w:r>
      <w:r>
        <w:rPr>
          <w:rFonts w:hint="eastAsia" w:ascii="宋体" w:hAnsi="宋体"/>
          <w:szCs w:val="21"/>
          <w:u w:val="single"/>
        </w:rPr>
        <w:t>首都师范大学</w:t>
      </w:r>
      <w:r>
        <w:rPr>
          <w:rFonts w:ascii="宋体" w:hAnsi="宋体"/>
          <w:szCs w:val="21"/>
          <w:u w:val="single"/>
        </w:rPr>
        <w:t>　　　　</w:t>
      </w:r>
    </w:p>
    <w:p>
      <w:pPr>
        <w:snapToGrid w:val="0"/>
        <w:spacing w:before="238" w:line="419" w:lineRule="atLeast"/>
        <w:rPr>
          <w:rFonts w:ascii="宋体" w:hAnsi="宋体"/>
          <w:szCs w:val="21"/>
        </w:rPr>
      </w:pPr>
      <w:r>
        <w:rPr>
          <w:rFonts w:ascii="宋体" w:hAnsi="宋体"/>
          <w:b/>
          <w:szCs w:val="21"/>
        </w:rPr>
        <w:t>6、合同的生效。</w:t>
      </w:r>
    </w:p>
    <w:p>
      <w:pPr>
        <w:snapToGrid w:val="0"/>
        <w:spacing w:before="119" w:line="419" w:lineRule="atLeast"/>
        <w:ind w:firstLine="453"/>
        <w:rPr>
          <w:rFonts w:ascii="宋体" w:hAnsi="宋体"/>
          <w:szCs w:val="21"/>
        </w:rPr>
      </w:pPr>
      <w:r>
        <w:rPr>
          <w:rFonts w:ascii="宋体" w:hAnsi="宋体"/>
          <w:szCs w:val="21"/>
        </w:rPr>
        <w:t>本合同经双方</w:t>
      </w:r>
      <w:r>
        <w:rPr>
          <w:rFonts w:hint="eastAsia" w:ascii="宋体" w:hAnsi="宋体"/>
          <w:szCs w:val="21"/>
        </w:rPr>
        <w:t>授</w:t>
      </w:r>
      <w:r>
        <w:rPr>
          <w:rFonts w:ascii="宋体" w:hAnsi="宋体"/>
          <w:szCs w:val="21"/>
        </w:rPr>
        <w:t>权代表签署、加盖单位印章并由卖方</w:t>
      </w:r>
      <w:r>
        <w:rPr>
          <w:rFonts w:hint="eastAsia" w:ascii="宋体" w:hAnsi="宋体"/>
          <w:szCs w:val="21"/>
        </w:rPr>
        <w:t>提交</w:t>
      </w:r>
      <w:r>
        <w:rPr>
          <w:rFonts w:ascii="宋体" w:hAnsi="宋体"/>
          <w:szCs w:val="21"/>
        </w:rPr>
        <w:t>履约保证金后生效。</w:t>
      </w:r>
    </w:p>
    <w:p>
      <w:pPr>
        <w:snapToGrid w:val="0"/>
        <w:spacing w:before="119" w:line="419" w:lineRule="atLeast"/>
        <w:ind w:firstLine="453"/>
        <w:rPr>
          <w:rFonts w:ascii="宋体" w:hAnsi="宋体"/>
          <w:szCs w:val="21"/>
        </w:rPr>
      </w:pPr>
    </w:p>
    <w:p>
      <w:pPr>
        <w:snapToGrid w:val="0"/>
        <w:spacing w:before="119" w:line="272" w:lineRule="atLeast"/>
        <w:rPr>
          <w:rFonts w:ascii="宋体" w:hAnsi="宋体"/>
          <w:szCs w:val="21"/>
        </w:rPr>
      </w:pPr>
      <w:r>
        <w:rPr>
          <w:rFonts w:ascii="宋体" w:hAnsi="宋体"/>
          <w:szCs w:val="21"/>
        </w:rPr>
        <w:t>　买　方：</w:t>
      </w:r>
      <w:r>
        <w:rPr>
          <w:rFonts w:ascii="宋体" w:hAnsi="宋体"/>
          <w:szCs w:val="21"/>
          <w:u w:val="single"/>
        </w:rPr>
        <w:t xml:space="preserve"> </w:t>
      </w:r>
      <w:r>
        <w:rPr>
          <w:rFonts w:hint="eastAsia" w:ascii="宋体" w:hAnsi="宋体"/>
          <w:szCs w:val="21"/>
          <w:u w:val="single"/>
        </w:rPr>
        <w:t>首都师范大学</w:t>
      </w:r>
      <w:r>
        <w:rPr>
          <w:rFonts w:ascii="宋体" w:hAnsi="宋体"/>
          <w:szCs w:val="21"/>
          <w:u w:val="single"/>
        </w:rPr>
        <w:t xml:space="preserve">        </w:t>
      </w:r>
      <w:r>
        <w:rPr>
          <w:rFonts w:ascii="宋体" w:hAnsi="宋体"/>
          <w:szCs w:val="21"/>
        </w:rPr>
        <w:tab/>
      </w:r>
      <w:r>
        <w:rPr>
          <w:rFonts w:ascii="宋体" w:hAnsi="宋体"/>
          <w:szCs w:val="21"/>
        </w:rPr>
        <w:t xml:space="preserve">        卖　方：</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before="119" w:line="272" w:lineRule="atLeast"/>
        <w:rPr>
          <w:rFonts w:ascii="宋体" w:hAnsi="宋体"/>
          <w:szCs w:val="21"/>
        </w:rPr>
      </w:pPr>
    </w:p>
    <w:p>
      <w:pPr>
        <w:snapToGrid w:val="0"/>
        <w:spacing w:before="119" w:line="272" w:lineRule="atLeast"/>
        <w:rPr>
          <w:rFonts w:ascii="宋体" w:hAnsi="宋体"/>
          <w:szCs w:val="21"/>
        </w:rPr>
      </w:pPr>
      <w:r>
        <w:rPr>
          <w:rFonts w:ascii="宋体" w:hAnsi="宋体"/>
          <w:szCs w:val="21"/>
        </w:rPr>
        <w:t xml:space="preserve">　 (印章)　　　       </w:t>
      </w:r>
      <w:r>
        <w:rPr>
          <w:rFonts w:ascii="宋体" w:hAnsi="宋体"/>
          <w:szCs w:val="21"/>
        </w:rPr>
        <w:tab/>
      </w:r>
      <w:r>
        <w:rPr>
          <w:rFonts w:ascii="宋体" w:hAnsi="宋体"/>
          <w:szCs w:val="21"/>
        </w:rPr>
        <w:t xml:space="preserve"> </w:t>
      </w:r>
      <w:r>
        <w:rPr>
          <w:rFonts w:hint="eastAsia" w:ascii="宋体" w:hAnsi="宋体"/>
          <w:szCs w:val="21"/>
        </w:rPr>
        <w:t xml:space="preserve">                    </w:t>
      </w:r>
      <w:r>
        <w:rPr>
          <w:rFonts w:ascii="宋体" w:hAnsi="宋体"/>
          <w:szCs w:val="21"/>
        </w:rPr>
        <w:t>(印章)</w:t>
      </w:r>
    </w:p>
    <w:p>
      <w:pPr>
        <w:snapToGrid w:val="0"/>
        <w:spacing w:before="119" w:line="272" w:lineRule="atLeast"/>
        <w:rPr>
          <w:rFonts w:ascii="宋体" w:hAnsi="宋体"/>
          <w:szCs w:val="21"/>
        </w:rPr>
      </w:pPr>
      <w:r>
        <w:rPr>
          <w:rFonts w:ascii="宋体" w:hAnsi="宋体"/>
          <w:szCs w:val="21"/>
        </w:rPr>
        <w:t xml:space="preserve">          </w:t>
      </w:r>
    </w:p>
    <w:p>
      <w:pPr>
        <w:snapToGrid w:val="0"/>
        <w:spacing w:before="119" w:line="272" w:lineRule="atLeast"/>
        <w:rPr>
          <w:rFonts w:ascii="宋体" w:hAnsi="宋体"/>
          <w:szCs w:val="21"/>
          <w:u w:val="single"/>
        </w:rPr>
      </w:pPr>
      <w:r>
        <w:rPr>
          <w:rFonts w:ascii="宋体" w:hAnsi="宋体"/>
          <w:szCs w:val="21"/>
        </w:rPr>
        <w:t>授权代表(签字)：</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ab/>
      </w:r>
      <w:r>
        <w:rPr>
          <w:rFonts w:ascii="宋体" w:hAnsi="宋体"/>
          <w:szCs w:val="21"/>
        </w:rPr>
        <w:t xml:space="preserve">        授权代表(签字)：</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napToGrid w:val="0"/>
        <w:spacing w:before="119" w:line="272" w:lineRule="atLeast"/>
        <w:ind w:firstLine="405"/>
        <w:rPr>
          <w:rFonts w:ascii="宋体" w:hAnsi="宋体"/>
          <w:szCs w:val="21"/>
        </w:rPr>
      </w:pPr>
    </w:p>
    <w:p>
      <w:pPr>
        <w:snapToGrid w:val="0"/>
        <w:spacing w:before="119" w:line="272" w:lineRule="atLeast"/>
        <w:rPr>
          <w:rFonts w:ascii="宋体" w:hAnsi="宋体"/>
          <w:szCs w:val="21"/>
          <w:u w:val="single"/>
        </w:rPr>
      </w:pPr>
      <w:r>
        <w:rPr>
          <w:rFonts w:hint="eastAsia" w:ascii="宋体" w:hAnsi="宋体"/>
          <w:szCs w:val="21"/>
        </w:rPr>
        <w:t>项目负责人（签字）</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联系电话：</w:t>
      </w:r>
      <w:r>
        <w:rPr>
          <w:rFonts w:hint="eastAsia" w:ascii="宋体" w:hAnsi="宋体"/>
          <w:szCs w:val="21"/>
          <w:u w:val="single"/>
        </w:rPr>
        <w:t xml:space="preserve">                 </w:t>
      </w:r>
    </w:p>
    <w:p>
      <w:pPr>
        <w:snapToGrid w:val="0"/>
        <w:spacing w:before="119" w:line="272" w:lineRule="atLeast"/>
        <w:ind w:firstLine="405"/>
        <w:rPr>
          <w:rFonts w:ascii="宋体" w:hAnsi="宋体"/>
          <w:szCs w:val="21"/>
          <w:u w:val="single"/>
        </w:rPr>
      </w:pPr>
    </w:p>
    <w:p>
      <w:pPr>
        <w:snapToGrid w:val="0"/>
        <w:spacing w:before="119" w:line="272" w:lineRule="atLeast"/>
        <w:rPr>
          <w:rFonts w:ascii="宋体" w:hAnsi="宋体"/>
          <w:szCs w:val="21"/>
          <w:u w:val="single"/>
        </w:rPr>
      </w:pPr>
      <w:r>
        <w:rPr>
          <w:rFonts w:hint="eastAsia" w:ascii="宋体" w:hAnsi="宋体"/>
          <w:szCs w:val="21"/>
        </w:rPr>
        <w:t>联系电话：</w:t>
      </w:r>
      <w:r>
        <w:rPr>
          <w:rFonts w:hint="eastAsia" w:ascii="宋体" w:hAnsi="宋体"/>
          <w:szCs w:val="21"/>
          <w:u w:val="single"/>
        </w:rPr>
        <w:t xml:space="preserve">                 </w:t>
      </w:r>
    </w:p>
    <w:p>
      <w:pPr>
        <w:snapToGrid w:val="0"/>
        <w:spacing w:before="119" w:line="272" w:lineRule="atLeast"/>
        <w:rPr>
          <w:rFonts w:ascii="宋体" w:hAnsi="宋体"/>
          <w:szCs w:val="21"/>
        </w:rPr>
      </w:pPr>
      <w:r>
        <w:rPr>
          <w:rFonts w:ascii="宋体" w:hAnsi="宋体"/>
          <w:szCs w:val="21"/>
        </w:rPr>
        <w:t>地址：</w:t>
      </w:r>
      <w:r>
        <w:rPr>
          <w:rFonts w:hint="eastAsia" w:ascii="宋体" w:hAnsi="宋体"/>
          <w:szCs w:val="21"/>
          <w:u w:val="single"/>
        </w:rPr>
        <w:t>北京西三环北路105号</w:t>
      </w:r>
      <w:r>
        <w:rPr>
          <w:rFonts w:ascii="宋体" w:hAnsi="宋体"/>
          <w:szCs w:val="21"/>
          <w:u w:val="single"/>
        </w:rPr>
        <w:t xml:space="preserve">  </w:t>
      </w:r>
      <w:r>
        <w:rPr>
          <w:rFonts w:hint="eastAsia" w:ascii="宋体" w:hAnsi="宋体"/>
          <w:szCs w:val="21"/>
        </w:rPr>
        <w:t xml:space="preserve">         </w:t>
      </w:r>
      <w:r>
        <w:rPr>
          <w:rFonts w:ascii="宋体" w:hAnsi="宋体"/>
          <w:szCs w:val="21"/>
        </w:rPr>
        <w:t xml:space="preserve">   地址：</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before="119" w:line="272" w:lineRule="atLeast"/>
        <w:ind w:firstLine="481"/>
        <w:rPr>
          <w:rFonts w:ascii="宋体" w:hAnsi="宋体"/>
          <w:szCs w:val="21"/>
        </w:rPr>
      </w:pPr>
      <w:r>
        <w:rPr>
          <w:rFonts w:ascii="宋体" w:hAnsi="宋体"/>
          <w:szCs w:val="21"/>
        </w:rPr>
        <w:t xml:space="preserve">  </w:t>
      </w:r>
    </w:p>
    <w:p>
      <w:pPr>
        <w:snapToGrid w:val="0"/>
        <w:spacing w:before="119" w:line="272" w:lineRule="atLeast"/>
        <w:rPr>
          <w:rFonts w:ascii="宋体" w:hAnsi="宋体"/>
          <w:szCs w:val="21"/>
        </w:rPr>
      </w:pPr>
      <w:r>
        <w:rPr>
          <w:rFonts w:ascii="宋体" w:hAnsi="宋体"/>
          <w:szCs w:val="21"/>
        </w:rPr>
        <w:t>邮政编码：</w:t>
      </w:r>
      <w:r>
        <w:rPr>
          <w:rFonts w:ascii="宋体" w:hAnsi="宋体"/>
          <w:szCs w:val="21"/>
          <w:u w:val="single"/>
        </w:rPr>
        <w:tab/>
      </w:r>
      <w:r>
        <w:rPr>
          <w:rFonts w:hint="eastAsia" w:ascii="宋体" w:hAnsi="宋体"/>
          <w:szCs w:val="21"/>
          <w:u w:val="single"/>
        </w:rPr>
        <w:t>100048</w:t>
      </w:r>
      <w:r>
        <w:rPr>
          <w:rFonts w:ascii="宋体" w:hAnsi="宋体"/>
          <w:szCs w:val="21"/>
          <w:u w:val="single"/>
        </w:rPr>
        <w:t xml:space="preserve">   </w:t>
      </w:r>
      <w:r>
        <w:rPr>
          <w:rFonts w:ascii="宋体" w:hAnsi="宋体"/>
          <w:szCs w:val="21"/>
          <w:u w:val="single"/>
        </w:rPr>
        <w:tab/>
      </w:r>
      <w:r>
        <w:rPr>
          <w:rFonts w:ascii="宋体" w:hAnsi="宋体"/>
          <w:szCs w:val="21"/>
        </w:rPr>
        <w:tab/>
      </w:r>
      <w:r>
        <w:rPr>
          <w:rFonts w:ascii="宋体" w:hAnsi="宋体"/>
          <w:szCs w:val="21"/>
        </w:rPr>
        <w:tab/>
      </w:r>
      <w:r>
        <w:rPr>
          <w:rFonts w:ascii="宋体" w:hAnsi="宋体"/>
          <w:szCs w:val="21"/>
        </w:rPr>
        <w:t xml:space="preserve"> </w:t>
      </w:r>
      <w:r>
        <w:rPr>
          <w:rFonts w:hint="eastAsia" w:ascii="宋体" w:hAnsi="宋体"/>
          <w:szCs w:val="21"/>
        </w:rPr>
        <w:t xml:space="preserve">  </w:t>
      </w:r>
      <w:r>
        <w:rPr>
          <w:rFonts w:ascii="宋体" w:hAnsi="宋体"/>
          <w:szCs w:val="21"/>
        </w:rPr>
        <w:t xml:space="preserve">    邮政编码：</w:t>
      </w:r>
      <w:r>
        <w:rPr>
          <w:rFonts w:ascii="宋体" w:hAnsi="宋体"/>
          <w:szCs w:val="21"/>
          <w:u w:val="single"/>
        </w:rPr>
        <w:t xml:space="preserve">               </w:t>
      </w:r>
      <w:r>
        <w:rPr>
          <w:rFonts w:ascii="宋体" w:hAnsi="宋体"/>
          <w:szCs w:val="21"/>
          <w:u w:val="single"/>
        </w:rPr>
        <w:tab/>
      </w:r>
    </w:p>
    <w:p>
      <w:pPr>
        <w:snapToGrid w:val="0"/>
        <w:spacing w:before="119" w:line="272" w:lineRule="atLeast"/>
        <w:rPr>
          <w:rFonts w:ascii="宋体" w:hAnsi="宋体"/>
          <w:szCs w:val="21"/>
        </w:rPr>
      </w:pPr>
    </w:p>
    <w:p>
      <w:pPr>
        <w:snapToGrid w:val="0"/>
        <w:spacing w:before="119" w:line="272" w:lineRule="atLeast"/>
        <w:rPr>
          <w:rFonts w:ascii="宋体" w:hAnsi="宋体"/>
          <w:szCs w:val="21"/>
        </w:rPr>
      </w:pPr>
      <w:r>
        <w:rPr>
          <w:rFonts w:ascii="宋体" w:hAnsi="宋体"/>
          <w:szCs w:val="21"/>
        </w:rPr>
        <w:t>电　　话：</w:t>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ab/>
      </w:r>
      <w:r>
        <w:rPr>
          <w:rFonts w:ascii="宋体" w:hAnsi="宋体"/>
          <w:szCs w:val="21"/>
        </w:rPr>
        <w:tab/>
      </w:r>
      <w:r>
        <w:rPr>
          <w:rFonts w:ascii="宋体" w:hAnsi="宋体"/>
          <w:szCs w:val="21"/>
        </w:rPr>
        <w:t xml:space="preserve"> </w:t>
      </w:r>
      <w:r>
        <w:rPr>
          <w:rFonts w:hint="eastAsia" w:ascii="宋体" w:hAnsi="宋体"/>
          <w:szCs w:val="21"/>
        </w:rPr>
        <w:t xml:space="preserve">    </w:t>
      </w:r>
      <w:r>
        <w:rPr>
          <w:rFonts w:ascii="宋体" w:hAnsi="宋体"/>
          <w:szCs w:val="21"/>
        </w:rPr>
        <w:t xml:space="preserve">  电　　话：</w:t>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p>
    <w:p>
      <w:pPr>
        <w:snapToGrid w:val="0"/>
        <w:spacing w:before="119" w:line="272" w:lineRule="atLeast"/>
        <w:rPr>
          <w:rFonts w:ascii="宋体" w:hAnsi="宋体"/>
          <w:szCs w:val="21"/>
        </w:rPr>
      </w:pPr>
      <w:r>
        <w:rPr>
          <w:rFonts w:ascii="宋体" w:hAnsi="宋体"/>
          <w:szCs w:val="21"/>
        </w:rPr>
        <w:t>　　</w:t>
      </w:r>
      <w:r>
        <w:rPr>
          <w:rFonts w:ascii="宋体" w:hAnsi="宋体"/>
          <w:szCs w:val="21"/>
        </w:rPr>
        <w:tab/>
      </w:r>
      <w:r>
        <w:rPr>
          <w:rFonts w:ascii="宋体" w:hAnsi="宋体"/>
          <w:szCs w:val="21"/>
        </w:rPr>
        <w:tab/>
      </w:r>
      <w:r>
        <w:rPr>
          <w:rFonts w:ascii="宋体" w:hAnsi="宋体"/>
          <w:szCs w:val="21"/>
        </w:rPr>
        <w:t xml:space="preserve"> </w:t>
      </w:r>
      <w:r>
        <w:rPr>
          <w:rFonts w:hint="eastAsia" w:ascii="宋体" w:hAnsi="宋体"/>
          <w:szCs w:val="21"/>
        </w:rPr>
        <w:t xml:space="preserve">                           </w:t>
      </w:r>
    </w:p>
    <w:p>
      <w:pPr>
        <w:snapToGrid w:val="0"/>
        <w:spacing w:before="119" w:line="272" w:lineRule="atLeast"/>
        <w:rPr>
          <w:rFonts w:ascii="宋体" w:hAnsi="宋体"/>
          <w:szCs w:val="21"/>
        </w:rPr>
      </w:pPr>
      <w:r>
        <w:rPr>
          <w:rFonts w:hint="eastAsia" w:ascii="宋体" w:hAnsi="宋体"/>
          <w:szCs w:val="21"/>
        </w:rPr>
        <w:t>社会统一信用代码：</w:t>
      </w:r>
      <w:r>
        <w:rPr>
          <w:rFonts w:hint="eastAsia" w:ascii="宋体" w:hAnsi="宋体"/>
          <w:szCs w:val="21"/>
          <w:u w:val="single"/>
        </w:rPr>
        <w:t>121100004006874031</w:t>
      </w:r>
      <w:r>
        <w:rPr>
          <w:rFonts w:ascii="宋体" w:hAnsi="宋体"/>
          <w:szCs w:val="21"/>
        </w:rPr>
        <w:t xml:space="preserve">   </w:t>
      </w:r>
      <w:r>
        <w:rPr>
          <w:rFonts w:hint="eastAsia" w:ascii="宋体" w:hAnsi="宋体"/>
          <w:szCs w:val="21"/>
        </w:rPr>
        <w:t>社会统一信用代码：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before="119" w:line="272" w:lineRule="atLeast"/>
        <w:rPr>
          <w:rFonts w:ascii="宋体" w:hAnsi="宋体"/>
          <w:szCs w:val="21"/>
        </w:rPr>
      </w:pPr>
    </w:p>
    <w:p>
      <w:pPr>
        <w:snapToGrid w:val="0"/>
        <w:spacing w:before="119" w:line="272" w:lineRule="atLeast"/>
        <w:rPr>
          <w:rFonts w:ascii="宋体" w:hAnsi="宋体"/>
          <w:szCs w:val="21"/>
          <w:u w:val="single"/>
        </w:rPr>
      </w:pPr>
      <w:r>
        <w:rPr>
          <w:rFonts w:ascii="宋体" w:hAnsi="宋体"/>
          <w:szCs w:val="21"/>
        </w:rPr>
        <w:t>开户银行：</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开户银行：</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before="119" w:line="272" w:lineRule="atLeast"/>
        <w:rPr>
          <w:rFonts w:ascii="宋体" w:hAnsi="宋体"/>
          <w:szCs w:val="21"/>
          <w:u w:val="single"/>
        </w:rPr>
      </w:pPr>
    </w:p>
    <w:p>
      <w:pPr>
        <w:snapToGrid w:val="0"/>
        <w:spacing w:before="119" w:line="272" w:lineRule="atLeast"/>
        <w:rPr>
          <w:rFonts w:ascii="宋体" w:hAnsi="宋体"/>
          <w:szCs w:val="21"/>
          <w:u w:val="single"/>
        </w:rPr>
      </w:pPr>
      <w:r>
        <w:rPr>
          <w:rFonts w:ascii="宋体" w:hAnsi="宋体"/>
          <w:szCs w:val="21"/>
        </w:rPr>
        <w:t>　　</w:t>
      </w:r>
      <w:r>
        <w:rPr>
          <w:rFonts w:ascii="宋体" w:hAnsi="宋体"/>
          <w:szCs w:val="21"/>
        </w:rPr>
        <w:tab/>
      </w:r>
      <w:r>
        <w:rPr>
          <w:rFonts w:ascii="宋体" w:hAnsi="宋体"/>
          <w:szCs w:val="21"/>
        </w:rPr>
        <w:tab/>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开户行号：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before="119" w:line="272" w:lineRule="atLeast"/>
        <w:rPr>
          <w:rFonts w:ascii="宋体" w:hAnsi="宋体"/>
          <w:szCs w:val="21"/>
        </w:rPr>
      </w:pPr>
    </w:p>
    <w:p>
      <w:pPr>
        <w:snapToGrid w:val="0"/>
        <w:spacing w:before="119" w:line="272" w:lineRule="atLeast"/>
        <w:rPr>
          <w:rFonts w:ascii="宋体" w:hAnsi="宋体"/>
          <w:szCs w:val="21"/>
        </w:rPr>
      </w:pPr>
      <w:r>
        <w:rPr>
          <w:rFonts w:hint="eastAsia" w:ascii="宋体" w:hAnsi="宋体"/>
          <w:szCs w:val="21"/>
        </w:rPr>
        <w:t>账</w:t>
      </w:r>
      <w:r>
        <w:rPr>
          <w:rFonts w:ascii="宋体" w:hAnsi="宋体"/>
          <w:szCs w:val="21"/>
        </w:rPr>
        <w:t>　　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账</w:t>
      </w:r>
      <w:r>
        <w:rPr>
          <w:rFonts w:ascii="宋体" w:hAnsi="宋体"/>
          <w:szCs w:val="21"/>
        </w:rPr>
        <w:t>　　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before="119" w:line="272" w:lineRule="atLeast"/>
        <w:rPr>
          <w:rFonts w:ascii="宋体" w:hAnsi="宋体"/>
          <w:szCs w:val="21"/>
        </w:rPr>
      </w:pPr>
    </w:p>
    <w:p>
      <w:pPr>
        <w:snapToGrid w:val="0"/>
        <w:spacing w:before="119" w:line="345" w:lineRule="auto"/>
        <w:jc w:val="center"/>
        <w:rPr>
          <w:rFonts w:ascii="宋体"/>
          <w:b/>
          <w:sz w:val="28"/>
          <w:szCs w:val="28"/>
        </w:rPr>
      </w:pPr>
      <w:r>
        <w:rPr>
          <w:rFonts w:ascii="宋体"/>
          <w:b/>
          <w:sz w:val="36"/>
        </w:rPr>
        <w:t xml:space="preserve"> </w:t>
      </w:r>
      <w:r>
        <w:rPr>
          <w:rFonts w:ascii="宋体"/>
          <w:b/>
          <w:sz w:val="28"/>
          <w:szCs w:val="28"/>
        </w:rPr>
        <w:t xml:space="preserve">  </w:t>
      </w:r>
    </w:p>
    <w:p>
      <w:pPr>
        <w:snapToGrid w:val="0"/>
        <w:spacing w:before="119" w:line="345" w:lineRule="auto"/>
        <w:jc w:val="center"/>
        <w:rPr>
          <w:sz w:val="28"/>
          <w:szCs w:val="28"/>
        </w:rPr>
      </w:pPr>
      <w:r>
        <w:rPr>
          <w:rFonts w:ascii="宋体"/>
          <w:b/>
          <w:sz w:val="28"/>
          <w:szCs w:val="28"/>
        </w:rPr>
        <w:t>合同一般条款</w:t>
      </w:r>
    </w:p>
    <w:p>
      <w:pPr>
        <w:pStyle w:val="7"/>
        <w:tabs>
          <w:tab w:val="left" w:pos="901"/>
        </w:tabs>
        <w:snapToGrid w:val="0"/>
        <w:spacing w:line="331" w:lineRule="auto"/>
        <w:rPr>
          <w:rFonts w:hAnsi="宋体"/>
          <w:sz w:val="21"/>
          <w:szCs w:val="21"/>
        </w:rPr>
      </w:pPr>
      <w:bookmarkStart w:id="672" w:name="_Toc28594"/>
      <w:r>
        <w:rPr>
          <w:rFonts w:hAnsi="宋体"/>
          <w:sz w:val="21"/>
          <w:szCs w:val="21"/>
        </w:rPr>
        <w:t>1       定义</w:t>
      </w:r>
      <w:bookmarkEnd w:id="672"/>
    </w:p>
    <w:p>
      <w:pPr>
        <w:tabs>
          <w:tab w:val="left" w:pos="901"/>
        </w:tabs>
        <w:snapToGrid w:val="0"/>
        <w:spacing w:line="331" w:lineRule="auto"/>
        <w:ind w:firstLine="840" w:firstLineChars="400"/>
        <w:rPr>
          <w:rFonts w:ascii="宋体" w:hAnsi="宋体"/>
          <w:szCs w:val="21"/>
        </w:rPr>
      </w:pPr>
      <w:r>
        <w:rPr>
          <w:rFonts w:ascii="宋体" w:hAnsi="宋体"/>
          <w:szCs w:val="21"/>
        </w:rPr>
        <w:t>本合同中的下列术语应解释为：</w:t>
      </w:r>
    </w:p>
    <w:p>
      <w:pPr>
        <w:pStyle w:val="299"/>
        <w:snapToGrid w:val="0"/>
        <w:spacing w:line="331" w:lineRule="auto"/>
        <w:ind w:left="840" w:hanging="840" w:hangingChars="400"/>
        <w:rPr>
          <w:rFonts w:ascii="宋体" w:hAnsi="宋体" w:eastAsia="宋体"/>
          <w:color w:val="auto"/>
          <w:sz w:val="21"/>
          <w:szCs w:val="21"/>
        </w:rPr>
      </w:pPr>
      <w:r>
        <w:rPr>
          <w:rFonts w:ascii="宋体" w:hAnsi="宋体" w:eastAsia="宋体"/>
          <w:color w:val="auto"/>
          <w:sz w:val="21"/>
          <w:szCs w:val="21"/>
        </w:rPr>
        <w:t>1.1    “合同”系指买卖双方签署的、合同格式中载明的买卖双方 所达成的协议， 包括所有的附件、附录和构成合同的其它文件。</w:t>
      </w:r>
    </w:p>
    <w:p>
      <w:pPr>
        <w:snapToGrid w:val="0"/>
        <w:spacing w:before="119" w:line="331" w:lineRule="auto"/>
        <w:ind w:left="958" w:hanging="952"/>
        <w:rPr>
          <w:rFonts w:ascii="宋体" w:hAnsi="宋体"/>
          <w:szCs w:val="21"/>
        </w:rPr>
      </w:pPr>
      <w:r>
        <w:rPr>
          <w:rFonts w:ascii="宋体" w:hAnsi="宋体"/>
          <w:szCs w:val="21"/>
        </w:rPr>
        <w:t>1.2    “合同价”系指根据合同约定，卖方在完全履行合同义务后买方应付给卖方的价格。</w:t>
      </w:r>
    </w:p>
    <w:p>
      <w:pPr>
        <w:snapToGrid w:val="0"/>
        <w:spacing w:before="119" w:line="331" w:lineRule="auto"/>
        <w:ind w:left="958" w:hanging="952"/>
        <w:rPr>
          <w:rFonts w:ascii="宋体" w:hAnsi="宋体"/>
          <w:szCs w:val="21"/>
        </w:rPr>
      </w:pPr>
      <w:r>
        <w:rPr>
          <w:rFonts w:ascii="宋体" w:hAnsi="宋体"/>
          <w:szCs w:val="21"/>
        </w:rPr>
        <w:t>1.3    “货物”系指卖方根据合同约定须向买方提供的一切设备、机械、仪表、备件，包括工具、手册等其它相关资料。“服务”系指根据合同约定卖方承担与供货有关的辅助服 务，如运输、 保险及安装、调试、提供技术援助、培训和其他类似的服务。</w:t>
      </w:r>
    </w:p>
    <w:p>
      <w:pPr>
        <w:snapToGrid w:val="0"/>
        <w:spacing w:before="119" w:line="331" w:lineRule="auto"/>
        <w:rPr>
          <w:rFonts w:ascii="宋体" w:hAnsi="宋体"/>
          <w:szCs w:val="21"/>
        </w:rPr>
      </w:pPr>
      <w:r>
        <w:rPr>
          <w:rFonts w:ascii="宋体" w:hAnsi="宋体"/>
          <w:szCs w:val="21"/>
        </w:rPr>
        <w:t>1.5    “买方”系指与中标人签</w:t>
      </w:r>
      <w:r>
        <w:rPr>
          <w:rFonts w:hint="eastAsia" w:ascii="宋体" w:hAnsi="宋体"/>
          <w:szCs w:val="21"/>
        </w:rPr>
        <w:t>订</w:t>
      </w:r>
      <w:r>
        <w:rPr>
          <w:rFonts w:ascii="宋体" w:hAnsi="宋体"/>
          <w:szCs w:val="21"/>
        </w:rPr>
        <w:t>供货合同的单位（含最终用户）。</w:t>
      </w:r>
    </w:p>
    <w:p>
      <w:pPr>
        <w:snapToGrid w:val="0"/>
        <w:spacing w:before="119" w:line="331" w:lineRule="auto"/>
        <w:ind w:left="958" w:hanging="952"/>
        <w:rPr>
          <w:rFonts w:ascii="宋体" w:hAnsi="宋体"/>
          <w:szCs w:val="21"/>
        </w:rPr>
      </w:pPr>
      <w:r>
        <w:rPr>
          <w:rFonts w:ascii="宋体" w:hAnsi="宋体"/>
          <w:szCs w:val="21"/>
        </w:rPr>
        <w:t>1.6    “卖方”系指根据合同约定提供货物及相关服务的中标人。</w:t>
      </w:r>
    </w:p>
    <w:p>
      <w:pPr>
        <w:tabs>
          <w:tab w:val="left" w:pos="901"/>
        </w:tabs>
        <w:snapToGrid w:val="0"/>
        <w:spacing w:before="119" w:line="331" w:lineRule="auto"/>
        <w:rPr>
          <w:rFonts w:ascii="宋体" w:hAnsi="宋体"/>
          <w:szCs w:val="21"/>
        </w:rPr>
      </w:pPr>
      <w:r>
        <w:rPr>
          <w:rFonts w:ascii="宋体" w:hAnsi="宋体"/>
          <w:szCs w:val="21"/>
        </w:rPr>
        <w:t>1.7    “现场”系指合同约定货物将要运至和安装的地点。</w:t>
      </w:r>
    </w:p>
    <w:p>
      <w:pPr>
        <w:snapToGrid w:val="0"/>
        <w:spacing w:before="119" w:line="331" w:lineRule="auto"/>
        <w:ind w:left="958" w:hanging="952"/>
        <w:rPr>
          <w:rFonts w:ascii="宋体" w:hAnsi="宋体"/>
          <w:szCs w:val="21"/>
        </w:rPr>
      </w:pPr>
      <w:r>
        <w:rPr>
          <w:rFonts w:ascii="宋体" w:hAnsi="宋体"/>
          <w:szCs w:val="21"/>
        </w:rPr>
        <w:t>1.8    “验收”系指合同双方依据强制性的国家技术质量规范和合同约定，确认合同项下的货物符合合同规定的活动。</w:t>
      </w:r>
    </w:p>
    <w:p>
      <w:pPr>
        <w:pStyle w:val="7"/>
        <w:snapToGrid w:val="0"/>
        <w:spacing w:line="331" w:lineRule="auto"/>
        <w:rPr>
          <w:rFonts w:hAnsi="宋体"/>
          <w:sz w:val="21"/>
          <w:szCs w:val="21"/>
        </w:rPr>
      </w:pPr>
      <w:bookmarkStart w:id="673" w:name="_Toc25464"/>
      <w:r>
        <w:rPr>
          <w:rFonts w:hAnsi="宋体"/>
          <w:sz w:val="21"/>
          <w:szCs w:val="21"/>
        </w:rPr>
        <w:t>2       技术规范</w:t>
      </w:r>
      <w:bookmarkEnd w:id="673"/>
    </w:p>
    <w:p>
      <w:pPr>
        <w:tabs>
          <w:tab w:val="left" w:pos="901"/>
        </w:tabs>
        <w:snapToGrid w:val="0"/>
        <w:spacing w:before="119" w:line="331" w:lineRule="auto"/>
        <w:ind w:left="719" w:hanging="714"/>
        <w:rPr>
          <w:rFonts w:ascii="宋体" w:hAnsi="宋体"/>
          <w:szCs w:val="21"/>
        </w:rPr>
      </w:pPr>
      <w:r>
        <w:rPr>
          <w:rFonts w:ascii="宋体" w:hAnsi="宋体"/>
          <w:szCs w:val="21"/>
        </w:rPr>
        <w:t>2.1     提交货物的技术规范应与</w:t>
      </w:r>
      <w:r>
        <w:rPr>
          <w:rFonts w:hint="eastAsia" w:ascii="宋体" w:hAnsi="宋体"/>
          <w:szCs w:val="21"/>
        </w:rPr>
        <w:t>比选文件</w:t>
      </w:r>
      <w:r>
        <w:rPr>
          <w:rFonts w:ascii="宋体" w:hAnsi="宋体"/>
          <w:szCs w:val="21"/>
        </w:rPr>
        <w:t>规定的技术规范和技术规范附件(如果有的话)及其投标文件的技术规范偏差表(如果被买方接受的话)相一致。若技术规范中无相应说明，则以国家有关部门最新颁布的相应标准及规范为准。</w:t>
      </w:r>
    </w:p>
    <w:p>
      <w:pPr>
        <w:pStyle w:val="7"/>
        <w:snapToGrid w:val="0"/>
        <w:spacing w:line="331" w:lineRule="auto"/>
        <w:rPr>
          <w:rFonts w:hAnsi="宋体"/>
          <w:sz w:val="21"/>
          <w:szCs w:val="21"/>
        </w:rPr>
      </w:pPr>
      <w:bookmarkStart w:id="674" w:name="_Toc18658"/>
      <w:r>
        <w:rPr>
          <w:rFonts w:hAnsi="宋体"/>
          <w:sz w:val="21"/>
          <w:szCs w:val="21"/>
        </w:rPr>
        <w:t>3       知识产权</w:t>
      </w:r>
      <w:bookmarkEnd w:id="674"/>
    </w:p>
    <w:p>
      <w:pPr>
        <w:snapToGrid w:val="0"/>
        <w:spacing w:before="119" w:line="331" w:lineRule="auto"/>
        <w:ind w:left="719" w:hanging="714"/>
        <w:rPr>
          <w:rFonts w:ascii="宋体" w:hAnsi="宋体"/>
          <w:szCs w:val="21"/>
        </w:rPr>
      </w:pPr>
      <w:r>
        <w:rPr>
          <w:rFonts w:ascii="宋体" w:hAnsi="宋体"/>
          <w:szCs w:val="21"/>
        </w:rPr>
        <w:t>3.1     卖方应保证买方在使用该货物或其任何一部分时不受第三方提出的侵犯专利权、 著作权、商标权和工业设计权等的起诉。如果任何第三方提出侵权指控，卖方须与第三方交涉并承担由此发生的一切责任、费用和经济赔偿。</w:t>
      </w:r>
    </w:p>
    <w:p>
      <w:pPr>
        <w:pStyle w:val="7"/>
        <w:snapToGrid w:val="0"/>
        <w:spacing w:line="331" w:lineRule="auto"/>
        <w:rPr>
          <w:rFonts w:hAnsi="宋体"/>
          <w:sz w:val="21"/>
          <w:szCs w:val="21"/>
        </w:rPr>
      </w:pPr>
      <w:bookmarkStart w:id="675" w:name="_Toc20704"/>
      <w:r>
        <w:rPr>
          <w:rFonts w:hAnsi="宋体"/>
          <w:sz w:val="21"/>
          <w:szCs w:val="21"/>
        </w:rPr>
        <w:t>4       包装要求</w:t>
      </w:r>
      <w:bookmarkEnd w:id="675"/>
    </w:p>
    <w:p>
      <w:pPr>
        <w:snapToGrid w:val="0"/>
        <w:spacing w:before="119" w:line="331" w:lineRule="auto"/>
        <w:ind w:left="719" w:hanging="714"/>
        <w:rPr>
          <w:rFonts w:ascii="宋体" w:hAnsi="宋体"/>
          <w:szCs w:val="21"/>
        </w:rPr>
      </w:pPr>
      <w:r>
        <w:rPr>
          <w:rFonts w:ascii="宋体" w:hAnsi="宋体"/>
          <w:szCs w:val="21"/>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pPr>
        <w:snapToGrid w:val="0"/>
        <w:spacing w:before="119" w:line="331" w:lineRule="auto"/>
        <w:rPr>
          <w:rFonts w:ascii="宋体" w:hAnsi="宋体"/>
          <w:szCs w:val="21"/>
        </w:rPr>
      </w:pPr>
      <w:r>
        <w:rPr>
          <w:rFonts w:ascii="宋体" w:hAnsi="宋体"/>
          <w:szCs w:val="21"/>
        </w:rPr>
        <w:t>4.2     每件包装箱内应附一份详细装箱单和质量合格证。</w:t>
      </w:r>
    </w:p>
    <w:p>
      <w:pPr>
        <w:pStyle w:val="7"/>
        <w:snapToGrid w:val="0"/>
        <w:spacing w:line="331" w:lineRule="auto"/>
        <w:rPr>
          <w:rFonts w:hAnsi="宋体"/>
          <w:sz w:val="21"/>
          <w:szCs w:val="21"/>
        </w:rPr>
      </w:pPr>
      <w:bookmarkStart w:id="676" w:name="_Toc24801"/>
      <w:r>
        <w:rPr>
          <w:rFonts w:hAnsi="宋体"/>
          <w:sz w:val="21"/>
          <w:szCs w:val="21"/>
        </w:rPr>
        <w:t>5       装运标志</w:t>
      </w:r>
      <w:bookmarkEnd w:id="676"/>
    </w:p>
    <w:p>
      <w:pPr>
        <w:snapToGrid w:val="0"/>
        <w:spacing w:before="119" w:line="331" w:lineRule="auto"/>
        <w:ind w:left="719" w:hanging="714"/>
        <w:rPr>
          <w:rFonts w:ascii="宋体" w:hAnsi="宋体"/>
          <w:szCs w:val="21"/>
        </w:rPr>
      </w:pPr>
      <w:r>
        <w:rPr>
          <w:rFonts w:ascii="宋体" w:hAnsi="宋体"/>
          <w:szCs w:val="21"/>
        </w:rPr>
        <w:t>5.1.    卖方应在每一包装箱的四侧用不褪色的油漆以醒目的中文字样做出下列标记：</w:t>
      </w:r>
    </w:p>
    <w:p>
      <w:pPr>
        <w:snapToGrid w:val="0"/>
        <w:spacing w:line="331" w:lineRule="auto"/>
        <w:rPr>
          <w:rFonts w:ascii="宋体" w:hAnsi="宋体"/>
          <w:szCs w:val="21"/>
        </w:rPr>
      </w:pPr>
      <w:r>
        <w:rPr>
          <w:rFonts w:ascii="宋体" w:hAnsi="宋体"/>
          <w:szCs w:val="21"/>
        </w:rPr>
        <w:t xml:space="preserve">    收货人：</w:t>
      </w:r>
      <w:r>
        <w:rPr>
          <w:rFonts w:ascii="宋体" w:hAnsi="宋体"/>
          <w:szCs w:val="21"/>
          <w:u w:val="single"/>
        </w:rPr>
        <w:t xml:space="preserve">                 /                 </w:t>
      </w:r>
    </w:p>
    <w:p>
      <w:pPr>
        <w:snapToGrid w:val="0"/>
        <w:spacing w:line="331" w:lineRule="auto"/>
        <w:rPr>
          <w:rFonts w:ascii="宋体" w:hAnsi="宋体"/>
          <w:szCs w:val="21"/>
        </w:rPr>
      </w:pPr>
      <w:r>
        <w:rPr>
          <w:rFonts w:ascii="宋体" w:hAnsi="宋体"/>
          <w:szCs w:val="21"/>
        </w:rPr>
        <w:t xml:space="preserve">    合同号：</w:t>
      </w:r>
      <w:r>
        <w:rPr>
          <w:rFonts w:ascii="宋体" w:hAnsi="宋体"/>
          <w:szCs w:val="21"/>
          <w:u w:val="single"/>
        </w:rPr>
        <w:t xml:space="preserve">                /                  </w:t>
      </w:r>
    </w:p>
    <w:p>
      <w:pPr>
        <w:snapToGrid w:val="0"/>
        <w:spacing w:line="331" w:lineRule="auto"/>
        <w:rPr>
          <w:rFonts w:ascii="宋体" w:hAnsi="宋体"/>
          <w:szCs w:val="21"/>
        </w:rPr>
      </w:pPr>
      <w:r>
        <w:rPr>
          <w:rFonts w:ascii="宋体" w:hAnsi="宋体"/>
          <w:szCs w:val="21"/>
        </w:rPr>
        <w:t xml:space="preserve">    装运标志：</w:t>
      </w:r>
      <w:r>
        <w:rPr>
          <w:rFonts w:ascii="宋体" w:hAnsi="宋体"/>
          <w:szCs w:val="21"/>
          <w:u w:val="single"/>
        </w:rPr>
        <w:t xml:space="preserve">              /                  </w:t>
      </w:r>
    </w:p>
    <w:p>
      <w:pPr>
        <w:snapToGrid w:val="0"/>
        <w:spacing w:line="331" w:lineRule="auto"/>
        <w:rPr>
          <w:rFonts w:ascii="宋体" w:hAnsi="宋体"/>
          <w:szCs w:val="21"/>
        </w:rPr>
      </w:pPr>
      <w:r>
        <w:rPr>
          <w:rFonts w:ascii="宋体" w:hAnsi="宋体"/>
          <w:szCs w:val="21"/>
        </w:rPr>
        <w:t xml:space="preserve">    收货人代号：</w:t>
      </w:r>
      <w:r>
        <w:rPr>
          <w:rFonts w:ascii="宋体" w:hAnsi="宋体"/>
          <w:szCs w:val="21"/>
          <w:u w:val="single"/>
        </w:rPr>
        <w:t xml:space="preserve">           /                   </w:t>
      </w:r>
    </w:p>
    <w:p>
      <w:pPr>
        <w:snapToGrid w:val="0"/>
        <w:spacing w:line="331" w:lineRule="auto"/>
        <w:rPr>
          <w:rFonts w:ascii="宋体" w:hAnsi="宋体"/>
          <w:szCs w:val="21"/>
        </w:rPr>
      </w:pPr>
      <w:r>
        <w:rPr>
          <w:rFonts w:ascii="宋体" w:hAnsi="宋体"/>
          <w:szCs w:val="21"/>
        </w:rPr>
        <w:t xml:space="preserve">    目的地：</w:t>
      </w:r>
      <w:r>
        <w:rPr>
          <w:rFonts w:ascii="宋体" w:hAnsi="宋体"/>
          <w:szCs w:val="21"/>
          <w:u w:val="single"/>
        </w:rPr>
        <w:t xml:space="preserve">                /                        </w:t>
      </w:r>
    </w:p>
    <w:p>
      <w:pPr>
        <w:snapToGrid w:val="0"/>
        <w:spacing w:line="331" w:lineRule="auto"/>
        <w:rPr>
          <w:rFonts w:ascii="宋体" w:hAnsi="宋体"/>
          <w:szCs w:val="21"/>
        </w:rPr>
      </w:pPr>
      <w:r>
        <w:rPr>
          <w:rFonts w:ascii="宋体" w:hAnsi="宋体"/>
          <w:szCs w:val="21"/>
        </w:rPr>
        <w:t xml:space="preserve">    货物名称、品目号和箱号：</w:t>
      </w:r>
      <w:r>
        <w:rPr>
          <w:rFonts w:ascii="宋体" w:hAnsi="宋体"/>
          <w:szCs w:val="21"/>
          <w:u w:val="single"/>
        </w:rPr>
        <w:t xml:space="preserve">              /             </w:t>
      </w:r>
    </w:p>
    <w:p>
      <w:pPr>
        <w:snapToGrid w:val="0"/>
        <w:spacing w:line="331" w:lineRule="auto"/>
        <w:rPr>
          <w:rFonts w:ascii="宋体" w:hAnsi="宋体"/>
          <w:szCs w:val="21"/>
        </w:rPr>
      </w:pPr>
      <w:r>
        <w:rPr>
          <w:rFonts w:ascii="宋体" w:hAnsi="宋体"/>
          <w:szCs w:val="21"/>
        </w:rPr>
        <w:t xml:space="preserve">    毛重／净重：</w:t>
      </w:r>
      <w:r>
        <w:rPr>
          <w:rFonts w:ascii="宋体" w:hAnsi="宋体"/>
          <w:szCs w:val="21"/>
          <w:u w:val="single"/>
        </w:rPr>
        <w:t xml:space="preserve">                    /                   </w:t>
      </w:r>
    </w:p>
    <w:p>
      <w:pPr>
        <w:snapToGrid w:val="0"/>
        <w:spacing w:line="331" w:lineRule="auto"/>
        <w:rPr>
          <w:rFonts w:ascii="宋体" w:hAnsi="宋体"/>
          <w:szCs w:val="21"/>
        </w:rPr>
      </w:pPr>
      <w:r>
        <w:rPr>
          <w:rFonts w:ascii="宋体" w:hAnsi="宋体"/>
          <w:szCs w:val="21"/>
        </w:rPr>
        <w:t xml:space="preserve">    尺寸(长×宽×高以厘米计)：</w:t>
      </w:r>
      <w:r>
        <w:rPr>
          <w:rFonts w:ascii="宋体" w:hAnsi="宋体"/>
          <w:szCs w:val="21"/>
          <w:u w:val="single"/>
        </w:rPr>
        <w:t xml:space="preserve">         /               </w:t>
      </w:r>
    </w:p>
    <w:p>
      <w:pPr>
        <w:snapToGrid w:val="0"/>
        <w:spacing w:before="119" w:line="331" w:lineRule="auto"/>
        <w:ind w:left="719" w:hanging="714"/>
        <w:rPr>
          <w:rFonts w:ascii="宋体" w:hAnsi="宋体"/>
          <w:szCs w:val="21"/>
        </w:rPr>
      </w:pPr>
      <w:r>
        <w:rPr>
          <w:rFonts w:ascii="宋体" w:hAnsi="宋体"/>
          <w:szCs w:val="21"/>
        </w:rPr>
        <w:t>5.2     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pPr>
        <w:pStyle w:val="7"/>
        <w:snapToGrid w:val="0"/>
        <w:spacing w:line="331" w:lineRule="auto"/>
        <w:rPr>
          <w:rFonts w:hAnsi="宋体"/>
          <w:sz w:val="21"/>
          <w:szCs w:val="21"/>
        </w:rPr>
      </w:pPr>
      <w:bookmarkStart w:id="677" w:name="_Toc1758"/>
      <w:r>
        <w:rPr>
          <w:rFonts w:hAnsi="宋体"/>
          <w:sz w:val="21"/>
          <w:szCs w:val="21"/>
        </w:rPr>
        <w:t>6       交货方式</w:t>
      </w:r>
      <w:bookmarkEnd w:id="677"/>
    </w:p>
    <w:p>
      <w:pPr>
        <w:snapToGrid w:val="0"/>
        <w:spacing w:before="119" w:line="331" w:lineRule="auto"/>
        <w:rPr>
          <w:rFonts w:ascii="宋体" w:hAnsi="宋体"/>
          <w:szCs w:val="21"/>
        </w:rPr>
      </w:pPr>
      <w:r>
        <w:rPr>
          <w:rFonts w:ascii="宋体" w:hAnsi="宋体"/>
          <w:szCs w:val="21"/>
        </w:rPr>
        <w:t>6.1     交货方式一般为下列其中一种，具体在合同特殊条款中规定。</w:t>
      </w:r>
    </w:p>
    <w:p>
      <w:pPr>
        <w:snapToGrid w:val="0"/>
        <w:spacing w:before="119" w:line="331" w:lineRule="auto"/>
        <w:ind w:left="958" w:hanging="952"/>
        <w:rPr>
          <w:rFonts w:ascii="宋体" w:hAnsi="宋体"/>
          <w:szCs w:val="21"/>
        </w:rPr>
      </w:pPr>
      <w:r>
        <w:rPr>
          <w:rFonts w:ascii="宋体" w:hAnsi="宋体"/>
          <w:szCs w:val="21"/>
        </w:rPr>
        <w:t>6.1.1   现场交货：卖方负责办理运输和保险，将货物运抵现场。有关运输和保险的一切费用由卖方承担。</w:t>
      </w:r>
      <w:r>
        <w:rPr>
          <w:rFonts w:hint="eastAsia" w:ascii="宋体" w:hAnsi="宋体"/>
          <w:szCs w:val="21"/>
        </w:rPr>
        <w:t>卖方交由承运人运输的货物，货物在运输途中遭遇毁损、灭失的风险由卖方承担。</w:t>
      </w:r>
      <w:r>
        <w:rPr>
          <w:rFonts w:ascii="宋体" w:hAnsi="宋体"/>
          <w:szCs w:val="21"/>
        </w:rPr>
        <w:t>所有货物运抵现场的日期为交货日期。</w:t>
      </w:r>
    </w:p>
    <w:p>
      <w:pPr>
        <w:snapToGrid w:val="0"/>
        <w:spacing w:before="119" w:line="331" w:lineRule="auto"/>
        <w:ind w:left="958" w:hanging="952"/>
        <w:rPr>
          <w:rFonts w:ascii="宋体" w:hAnsi="宋体"/>
          <w:szCs w:val="21"/>
        </w:rPr>
      </w:pPr>
      <w:r>
        <w:rPr>
          <w:rFonts w:ascii="宋体" w:hAnsi="宋体"/>
          <w:szCs w:val="21"/>
        </w:rPr>
        <w:t>6.1.2   工厂交货：由卖方负责代办运输和保险事宜。运输费和保险费由买方承担。运输部门出具收据的日期为交货日期。</w:t>
      </w:r>
    </w:p>
    <w:p>
      <w:pPr>
        <w:snapToGrid w:val="0"/>
        <w:spacing w:before="119" w:line="331" w:lineRule="auto"/>
        <w:ind w:left="958" w:hanging="952"/>
        <w:rPr>
          <w:rFonts w:ascii="宋体" w:hAnsi="宋体"/>
          <w:szCs w:val="21"/>
        </w:rPr>
      </w:pPr>
      <w:r>
        <w:rPr>
          <w:rFonts w:ascii="宋体" w:hAnsi="宋体"/>
          <w:szCs w:val="21"/>
        </w:rPr>
        <w:t>6.1.3   买方自提货物：由买方在合同规定地点自行办理提货。提单日期为交货日期。</w:t>
      </w:r>
    </w:p>
    <w:p>
      <w:pPr>
        <w:snapToGrid w:val="0"/>
        <w:spacing w:before="119" w:line="331" w:lineRule="auto"/>
        <w:ind w:left="901" w:hanging="895"/>
        <w:rPr>
          <w:rFonts w:ascii="宋体" w:hAnsi="宋体"/>
          <w:szCs w:val="21"/>
        </w:rPr>
      </w:pPr>
      <w:r>
        <w:rPr>
          <w:rFonts w:ascii="宋体" w:hAnsi="宋体"/>
          <w:szCs w:val="21"/>
        </w:rPr>
        <w:t>6.2     卖方应在合同规定的交货期</w:t>
      </w:r>
      <w:r>
        <w:rPr>
          <w:rFonts w:ascii="宋体" w:hAnsi="宋体"/>
          <w:szCs w:val="21"/>
          <w:u w:val="single" w:color="FF0000"/>
        </w:rPr>
        <w:t xml:space="preserve"> </w:t>
      </w:r>
      <w:r>
        <w:rPr>
          <w:rFonts w:hint="eastAsia" w:ascii="宋体" w:hAnsi="宋体"/>
          <w:szCs w:val="21"/>
          <w:u w:val="single" w:color="FF0000"/>
        </w:rPr>
        <w:t>7</w:t>
      </w:r>
      <w:r>
        <w:rPr>
          <w:rFonts w:ascii="宋体" w:hAnsi="宋体"/>
          <w:szCs w:val="21"/>
          <w:u w:val="single" w:color="FF0000"/>
        </w:rPr>
        <w:t xml:space="preserve"> </w:t>
      </w:r>
      <w:r>
        <w:rPr>
          <w:rFonts w:ascii="宋体" w:hAnsi="宋体"/>
          <w:szCs w:val="21"/>
        </w:rPr>
        <w:t>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pPr>
        <w:tabs>
          <w:tab w:val="left" w:pos="719"/>
        </w:tabs>
        <w:snapToGrid w:val="0"/>
        <w:spacing w:before="119" w:line="331" w:lineRule="auto"/>
        <w:ind w:left="958" w:hanging="952"/>
        <w:rPr>
          <w:rFonts w:ascii="宋体" w:hAnsi="宋体"/>
          <w:szCs w:val="21"/>
        </w:rPr>
      </w:pPr>
      <w:r>
        <w:rPr>
          <w:rFonts w:ascii="宋体" w:hAnsi="宋体"/>
          <w:szCs w:val="21"/>
        </w:rPr>
        <w:t>6.3     在现场交货和工厂交货条件下，卖方装运的货物不应超过合同规定的数量或重量。否则，卖方应对超运部分引起的一切后果负责。</w:t>
      </w:r>
    </w:p>
    <w:p>
      <w:pPr>
        <w:pStyle w:val="7"/>
        <w:snapToGrid w:val="0"/>
        <w:spacing w:line="331" w:lineRule="auto"/>
        <w:rPr>
          <w:rFonts w:hAnsi="宋体"/>
          <w:sz w:val="21"/>
          <w:szCs w:val="21"/>
        </w:rPr>
      </w:pPr>
      <w:bookmarkStart w:id="678" w:name="_Toc26904"/>
      <w:r>
        <w:rPr>
          <w:rFonts w:hAnsi="宋体"/>
          <w:sz w:val="21"/>
          <w:szCs w:val="21"/>
        </w:rPr>
        <w:t>7       装运通知</w:t>
      </w:r>
      <w:bookmarkEnd w:id="678"/>
    </w:p>
    <w:p>
      <w:pPr>
        <w:snapToGrid w:val="0"/>
        <w:spacing w:before="119" w:line="331" w:lineRule="auto"/>
        <w:ind w:left="901" w:hanging="895"/>
        <w:rPr>
          <w:rFonts w:ascii="宋体" w:hAnsi="宋体"/>
          <w:szCs w:val="21"/>
        </w:rPr>
      </w:pPr>
      <w:r>
        <w:rPr>
          <w:rFonts w:ascii="宋体" w:hAnsi="宋体"/>
          <w:szCs w:val="21"/>
        </w:rPr>
        <w:t>7.1     在现场交货和工厂交货条件下的货物，卖方通知买方货物已备妥待运输后24小时之内，应将合同号、货名、 数量、毛重、总体积(立方米)、发票金额、运输工具名称及装运日期，以电报或传真通知买方。</w:t>
      </w:r>
    </w:p>
    <w:p>
      <w:pPr>
        <w:pStyle w:val="300"/>
        <w:snapToGrid w:val="0"/>
        <w:spacing w:line="331" w:lineRule="auto"/>
        <w:ind w:left="958" w:hanging="952"/>
        <w:jc w:val="both"/>
        <w:rPr>
          <w:rFonts w:hAnsi="宋体"/>
          <w:color w:val="auto"/>
          <w:sz w:val="21"/>
          <w:szCs w:val="21"/>
        </w:rPr>
      </w:pPr>
      <w:r>
        <w:rPr>
          <w:rFonts w:hAnsi="宋体"/>
          <w:color w:val="auto"/>
          <w:sz w:val="21"/>
          <w:szCs w:val="21"/>
        </w:rPr>
        <w:t>7.2     如因卖方延误将上述内容用电报或传真通知买方，由此引起的一切后果损失应由卖方负责。</w:t>
      </w:r>
    </w:p>
    <w:p>
      <w:pPr>
        <w:pStyle w:val="7"/>
        <w:snapToGrid w:val="0"/>
        <w:spacing w:line="331" w:lineRule="auto"/>
        <w:rPr>
          <w:rFonts w:hAnsi="宋体"/>
          <w:sz w:val="21"/>
          <w:szCs w:val="21"/>
        </w:rPr>
      </w:pPr>
      <w:bookmarkStart w:id="679" w:name="_Toc839"/>
      <w:r>
        <w:rPr>
          <w:rFonts w:hAnsi="宋体"/>
          <w:sz w:val="21"/>
          <w:szCs w:val="21"/>
        </w:rPr>
        <w:t>8       保险</w:t>
      </w:r>
      <w:bookmarkEnd w:id="679"/>
    </w:p>
    <w:p>
      <w:pPr>
        <w:snapToGrid w:val="0"/>
        <w:spacing w:before="119" w:line="331" w:lineRule="auto"/>
        <w:ind w:left="958" w:hanging="952"/>
        <w:rPr>
          <w:rFonts w:ascii="宋体" w:hAnsi="宋体"/>
          <w:szCs w:val="21"/>
        </w:rPr>
      </w:pPr>
      <w:r>
        <w:rPr>
          <w:rFonts w:ascii="宋体" w:hAnsi="宋体"/>
          <w:szCs w:val="21"/>
        </w:rPr>
        <w:t>8.1     如果货物是按现场交货方式或工厂交货方式报价的，由卖方按照发票金额的110％办理“一切险”；如果货物是按买方自提货物方式报价的，其保险由买方办理。</w:t>
      </w:r>
    </w:p>
    <w:p>
      <w:pPr>
        <w:pStyle w:val="7"/>
        <w:snapToGrid w:val="0"/>
        <w:spacing w:line="331" w:lineRule="auto"/>
        <w:rPr>
          <w:rFonts w:hAnsi="宋体"/>
          <w:sz w:val="21"/>
          <w:szCs w:val="21"/>
        </w:rPr>
      </w:pPr>
      <w:bookmarkStart w:id="680" w:name="_Toc31184"/>
      <w:r>
        <w:rPr>
          <w:rFonts w:hAnsi="宋体"/>
          <w:sz w:val="21"/>
          <w:szCs w:val="21"/>
        </w:rPr>
        <w:t>9       付款条件</w:t>
      </w:r>
      <w:bookmarkEnd w:id="680"/>
    </w:p>
    <w:p>
      <w:pPr>
        <w:snapToGrid w:val="0"/>
        <w:spacing w:before="119" w:line="331" w:lineRule="auto"/>
        <w:rPr>
          <w:rFonts w:ascii="宋体" w:hAnsi="宋体"/>
          <w:szCs w:val="21"/>
        </w:rPr>
      </w:pPr>
      <w:r>
        <w:rPr>
          <w:rFonts w:ascii="宋体" w:hAnsi="宋体"/>
          <w:szCs w:val="21"/>
        </w:rPr>
        <w:t>9.1     付款条件见第二册第七章“合同特殊条款”。</w:t>
      </w:r>
    </w:p>
    <w:p>
      <w:pPr>
        <w:pStyle w:val="7"/>
        <w:snapToGrid w:val="0"/>
        <w:spacing w:line="331" w:lineRule="auto"/>
        <w:rPr>
          <w:rFonts w:hAnsi="宋体"/>
          <w:sz w:val="21"/>
          <w:szCs w:val="21"/>
        </w:rPr>
      </w:pPr>
      <w:bookmarkStart w:id="681" w:name="_Toc28645"/>
      <w:r>
        <w:rPr>
          <w:rFonts w:hAnsi="宋体"/>
          <w:sz w:val="21"/>
          <w:szCs w:val="21"/>
        </w:rPr>
        <w:t>10      技术资料</w:t>
      </w:r>
      <w:bookmarkEnd w:id="681"/>
    </w:p>
    <w:p>
      <w:pPr>
        <w:snapToGrid w:val="0"/>
        <w:spacing w:before="119" w:line="331" w:lineRule="auto"/>
        <w:rPr>
          <w:rFonts w:ascii="宋体" w:hAnsi="宋体"/>
          <w:szCs w:val="21"/>
        </w:rPr>
      </w:pPr>
      <w:r>
        <w:rPr>
          <w:rFonts w:ascii="宋体" w:hAnsi="宋体"/>
          <w:szCs w:val="21"/>
        </w:rPr>
        <w:t>10.1    合同项下技术资料(除合同特殊条款规定外)将以下列方式交付：</w:t>
      </w:r>
    </w:p>
    <w:p>
      <w:pPr>
        <w:snapToGrid w:val="0"/>
        <w:spacing w:before="119" w:line="331" w:lineRule="auto"/>
        <w:ind w:left="958"/>
        <w:rPr>
          <w:rFonts w:ascii="宋体" w:hAnsi="宋体"/>
          <w:szCs w:val="21"/>
        </w:rPr>
      </w:pPr>
      <w:r>
        <w:rPr>
          <w:rFonts w:ascii="宋体" w:hAnsi="宋体"/>
          <w:szCs w:val="21"/>
        </w:rPr>
        <w:t xml:space="preserve"> 合同生效后</w:t>
      </w:r>
      <w:r>
        <w:rPr>
          <w:rFonts w:ascii="宋体" w:hAnsi="宋体"/>
          <w:szCs w:val="21"/>
          <w:u w:val="single" w:color="FF0000"/>
        </w:rPr>
        <w:t xml:space="preserve">  </w:t>
      </w:r>
      <w:r>
        <w:rPr>
          <w:rFonts w:hint="eastAsia" w:ascii="宋体" w:hAnsi="宋体"/>
          <w:szCs w:val="21"/>
          <w:u w:val="single" w:color="FF0000"/>
        </w:rPr>
        <w:t>30</w:t>
      </w:r>
      <w:r>
        <w:rPr>
          <w:rFonts w:ascii="宋体" w:hAnsi="宋体"/>
          <w:szCs w:val="21"/>
          <w:u w:val="single" w:color="FF0000"/>
        </w:rPr>
        <w:t xml:space="preserve">  </w:t>
      </w:r>
      <w:r>
        <w:rPr>
          <w:rFonts w:ascii="宋体" w:hAnsi="宋体"/>
          <w:szCs w:val="21"/>
        </w:rPr>
        <w:t>天之内，卖方应将每台设备和仪器的中文技术资料一套，如目录索引、图纸、操作手册、使用指南、维修指南和／或服务手册和示意图寄给买方。</w:t>
      </w:r>
    </w:p>
    <w:p>
      <w:pPr>
        <w:snapToGrid w:val="0"/>
        <w:spacing w:before="119" w:line="331" w:lineRule="auto"/>
        <w:rPr>
          <w:rFonts w:ascii="宋体" w:hAnsi="宋体"/>
          <w:szCs w:val="21"/>
        </w:rPr>
      </w:pPr>
      <w:r>
        <w:rPr>
          <w:rFonts w:ascii="宋体" w:hAnsi="宋体"/>
          <w:szCs w:val="21"/>
        </w:rPr>
        <w:t>10.2    另外一套完整的上述资料应包装好随同每批货物一起发运。</w:t>
      </w:r>
    </w:p>
    <w:p>
      <w:pPr>
        <w:snapToGrid w:val="0"/>
        <w:spacing w:before="119" w:line="331" w:lineRule="auto"/>
        <w:ind w:left="958" w:hanging="952"/>
        <w:rPr>
          <w:rFonts w:ascii="宋体" w:hAnsi="宋体"/>
          <w:szCs w:val="21"/>
        </w:rPr>
      </w:pPr>
      <w:r>
        <w:rPr>
          <w:rFonts w:ascii="宋体" w:hAnsi="宋体"/>
          <w:szCs w:val="21"/>
        </w:rPr>
        <w:t>10.3    如果买方确认卖方提供的技术资料不完整或在运输过程中丢失，卖方将在收到买方通知后</w:t>
      </w:r>
      <w:r>
        <w:rPr>
          <w:rFonts w:ascii="宋体" w:hAnsi="宋体"/>
          <w:szCs w:val="21"/>
          <w:u w:val="single" w:color="FF0000"/>
        </w:rPr>
        <w:t xml:space="preserve"> </w:t>
      </w:r>
      <w:r>
        <w:rPr>
          <w:rFonts w:hint="eastAsia" w:ascii="宋体" w:hAnsi="宋体"/>
          <w:szCs w:val="21"/>
          <w:u w:val="single" w:color="FF0000"/>
        </w:rPr>
        <w:t>7</w:t>
      </w:r>
      <w:r>
        <w:rPr>
          <w:rFonts w:ascii="宋体" w:hAnsi="宋体"/>
          <w:szCs w:val="21"/>
          <w:u w:val="single" w:color="FF0000"/>
        </w:rPr>
        <w:t xml:space="preserve"> </w:t>
      </w:r>
      <w:r>
        <w:rPr>
          <w:rFonts w:ascii="宋体" w:hAnsi="宋体"/>
          <w:szCs w:val="21"/>
        </w:rPr>
        <w:t>天内将这些资料免费寄给买方。</w:t>
      </w:r>
    </w:p>
    <w:p>
      <w:pPr>
        <w:pStyle w:val="7"/>
        <w:snapToGrid w:val="0"/>
        <w:spacing w:line="331" w:lineRule="auto"/>
        <w:rPr>
          <w:rFonts w:hAnsi="宋体"/>
          <w:sz w:val="21"/>
          <w:szCs w:val="21"/>
        </w:rPr>
      </w:pPr>
      <w:bookmarkStart w:id="682" w:name="_Toc17862"/>
      <w:r>
        <w:rPr>
          <w:rFonts w:hAnsi="宋体"/>
          <w:sz w:val="21"/>
          <w:szCs w:val="21"/>
        </w:rPr>
        <w:t>11      质量保证</w:t>
      </w:r>
      <w:bookmarkEnd w:id="682"/>
    </w:p>
    <w:p>
      <w:pPr>
        <w:snapToGrid w:val="0"/>
        <w:spacing w:line="331" w:lineRule="auto"/>
        <w:ind w:left="958" w:hanging="952"/>
        <w:rPr>
          <w:rFonts w:ascii="宋体" w:hAnsi="宋体"/>
          <w:szCs w:val="21"/>
        </w:rPr>
      </w:pPr>
      <w:r>
        <w:rPr>
          <w:rFonts w:ascii="宋体" w:hAnsi="宋体"/>
          <w:szCs w:val="21"/>
        </w:rPr>
        <w:t>11.1    卖方须保证货物是全新、未使用过的，并完全符合强制性的国家技术质量规范和合同规定的质量、规格、性能和技术规范等的要求。</w:t>
      </w:r>
    </w:p>
    <w:p>
      <w:pPr>
        <w:snapToGrid w:val="0"/>
        <w:spacing w:line="331" w:lineRule="auto"/>
        <w:ind w:left="958" w:hanging="952"/>
        <w:rPr>
          <w:rFonts w:ascii="宋体" w:hAnsi="宋体"/>
          <w:szCs w:val="21"/>
        </w:rPr>
      </w:pPr>
      <w:r>
        <w:rPr>
          <w:rFonts w:ascii="宋体" w:hAnsi="宋体"/>
          <w:szCs w:val="21"/>
        </w:rPr>
        <w:t>11.2</w:t>
      </w:r>
      <w:r>
        <w:rPr>
          <w:rFonts w:hint="eastAsia" w:ascii="宋体" w:hAnsi="宋体"/>
          <w:szCs w:val="21"/>
        </w:rPr>
        <w:t xml:space="preserve">    </w:t>
      </w:r>
      <w:r>
        <w:rPr>
          <w:rFonts w:ascii="宋体" w:hAnsi="宋体"/>
          <w:szCs w:val="21"/>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pPr>
        <w:snapToGrid w:val="0"/>
        <w:spacing w:before="119" w:line="331" w:lineRule="auto"/>
        <w:ind w:left="958" w:hanging="952"/>
        <w:rPr>
          <w:rFonts w:ascii="宋体" w:hAnsi="宋体"/>
          <w:szCs w:val="21"/>
        </w:rPr>
      </w:pPr>
      <w:r>
        <w:rPr>
          <w:rFonts w:ascii="宋体" w:hAnsi="宋体"/>
          <w:szCs w:val="21"/>
        </w:rPr>
        <w:t>11.3    根据买方按检验标准自己检验结果或委托有资质的相关质检机构的检验结果，发现货物的数量、</w:t>
      </w:r>
      <w:r>
        <w:rPr>
          <w:rFonts w:hint="eastAsia" w:ascii="宋体" w:hAnsi="宋体"/>
          <w:szCs w:val="21"/>
        </w:rPr>
        <w:t>重量、</w:t>
      </w:r>
      <w:r>
        <w:rPr>
          <w:rFonts w:ascii="宋体" w:hAnsi="宋体"/>
          <w:szCs w:val="21"/>
        </w:rPr>
        <w:t>质量、规格</w:t>
      </w:r>
      <w:r>
        <w:rPr>
          <w:rFonts w:hint="eastAsia" w:ascii="宋体" w:hAnsi="宋体"/>
          <w:szCs w:val="21"/>
        </w:rPr>
        <w:t>、型号、批次等</w:t>
      </w:r>
      <w:r>
        <w:rPr>
          <w:rFonts w:ascii="宋体" w:hAnsi="宋体"/>
          <w:szCs w:val="21"/>
        </w:rPr>
        <w:t>与合同不符；或者在质量保证期内，证实货物存在缺陷，包括潜在的缺陷或使用不符合要求的材料等，买方应尽快以书面形式通知卖方。卖方在收到通知后</w:t>
      </w:r>
      <w:r>
        <w:rPr>
          <w:rFonts w:ascii="宋体" w:hAnsi="宋体"/>
          <w:szCs w:val="21"/>
          <w:u w:val="single" w:color="FF0000"/>
        </w:rPr>
        <w:t xml:space="preserve"> </w:t>
      </w:r>
      <w:r>
        <w:rPr>
          <w:rFonts w:hint="eastAsia" w:ascii="宋体" w:hAnsi="宋体"/>
          <w:szCs w:val="21"/>
          <w:u w:val="single" w:color="FF0000"/>
        </w:rPr>
        <w:t>3</w:t>
      </w:r>
      <w:r>
        <w:rPr>
          <w:rFonts w:ascii="宋体" w:hAnsi="宋体"/>
          <w:szCs w:val="21"/>
          <w:u w:val="single" w:color="FF0000"/>
        </w:rPr>
        <w:t xml:space="preserve"> </w:t>
      </w:r>
      <w:r>
        <w:rPr>
          <w:rFonts w:ascii="宋体" w:hAnsi="宋体"/>
          <w:szCs w:val="21"/>
        </w:rPr>
        <w:t>天内应</w:t>
      </w:r>
      <w:r>
        <w:rPr>
          <w:rFonts w:hint="eastAsia" w:ascii="宋体" w:hAnsi="宋体"/>
          <w:szCs w:val="21"/>
        </w:rPr>
        <w:t>负责为买方更换符合合同约定的货物；或者</w:t>
      </w:r>
      <w:r>
        <w:rPr>
          <w:rFonts w:ascii="宋体" w:hAnsi="宋体"/>
          <w:szCs w:val="21"/>
        </w:rPr>
        <w:t>免费维修或更换有缺陷的货物或部件。</w:t>
      </w:r>
    </w:p>
    <w:p>
      <w:pPr>
        <w:snapToGrid w:val="0"/>
        <w:spacing w:before="119" w:line="331" w:lineRule="auto"/>
        <w:ind w:left="958" w:hanging="952"/>
        <w:rPr>
          <w:rFonts w:ascii="宋体" w:hAnsi="宋体"/>
          <w:szCs w:val="21"/>
        </w:rPr>
      </w:pPr>
      <w:r>
        <w:rPr>
          <w:rFonts w:ascii="宋体" w:hAnsi="宋体"/>
          <w:szCs w:val="21"/>
        </w:rPr>
        <w:t>11.4    如果卖方在收到通知后</w:t>
      </w:r>
      <w:r>
        <w:rPr>
          <w:rFonts w:ascii="宋体" w:hAnsi="宋体"/>
          <w:szCs w:val="21"/>
          <w:u w:val="single" w:color="FF0000"/>
        </w:rPr>
        <w:t xml:space="preserve"> </w:t>
      </w:r>
      <w:r>
        <w:rPr>
          <w:rFonts w:hint="eastAsia" w:ascii="宋体" w:hAnsi="宋体"/>
          <w:szCs w:val="21"/>
          <w:u w:val="single" w:color="FF0000"/>
        </w:rPr>
        <w:t>3</w:t>
      </w:r>
      <w:r>
        <w:rPr>
          <w:rFonts w:ascii="宋体" w:hAnsi="宋体"/>
          <w:szCs w:val="21"/>
          <w:u w:val="single" w:color="FF0000"/>
        </w:rPr>
        <w:t xml:space="preserve"> </w:t>
      </w:r>
      <w:r>
        <w:rPr>
          <w:rFonts w:ascii="宋体" w:hAnsi="宋体"/>
          <w:szCs w:val="21"/>
        </w:rPr>
        <w:t>天内没有</w:t>
      </w:r>
      <w:r>
        <w:rPr>
          <w:rFonts w:hint="eastAsia" w:ascii="宋体" w:hAnsi="宋体"/>
          <w:szCs w:val="21"/>
        </w:rPr>
        <w:t>重新供货或者</w:t>
      </w:r>
      <w:r>
        <w:rPr>
          <w:rFonts w:ascii="宋体" w:hAnsi="宋体"/>
          <w:szCs w:val="21"/>
        </w:rPr>
        <w:t>弥补缺陷，买方可采取必要的补救措施，但由此引发的风险和费用将由卖方承担。</w:t>
      </w:r>
    </w:p>
    <w:p>
      <w:pPr>
        <w:snapToGrid w:val="0"/>
        <w:spacing w:before="119" w:line="331" w:lineRule="auto"/>
        <w:ind w:left="958" w:hanging="952"/>
        <w:rPr>
          <w:rFonts w:ascii="宋体" w:hAnsi="宋体"/>
          <w:szCs w:val="21"/>
        </w:rPr>
      </w:pPr>
      <w:r>
        <w:rPr>
          <w:rFonts w:ascii="宋体" w:hAnsi="宋体"/>
          <w:szCs w:val="21"/>
        </w:rPr>
        <w:t>11.5    除“合同特殊条款”规定外，合同项下货物的质量保证期为自货物通过最终验收起12个月。</w:t>
      </w:r>
    </w:p>
    <w:p>
      <w:pPr>
        <w:pStyle w:val="7"/>
        <w:snapToGrid w:val="0"/>
        <w:spacing w:line="331" w:lineRule="auto"/>
        <w:rPr>
          <w:rFonts w:hAnsi="宋体"/>
          <w:sz w:val="21"/>
          <w:szCs w:val="21"/>
        </w:rPr>
      </w:pPr>
      <w:bookmarkStart w:id="683" w:name="_Toc3120"/>
      <w:r>
        <w:rPr>
          <w:rFonts w:hAnsi="宋体"/>
          <w:sz w:val="21"/>
          <w:szCs w:val="21"/>
        </w:rPr>
        <w:t>12      检验和验收</w:t>
      </w:r>
      <w:bookmarkEnd w:id="683"/>
    </w:p>
    <w:p>
      <w:pPr>
        <w:snapToGrid w:val="0"/>
        <w:spacing w:before="119" w:line="331" w:lineRule="auto"/>
        <w:ind w:left="958" w:hanging="952"/>
        <w:rPr>
          <w:rFonts w:ascii="宋体" w:hAnsi="宋体"/>
          <w:szCs w:val="21"/>
        </w:rPr>
      </w:pPr>
      <w:r>
        <w:rPr>
          <w:rFonts w:ascii="宋体" w:hAnsi="宋体"/>
          <w:szCs w:val="21"/>
        </w:rPr>
        <w:t>12.1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pPr>
        <w:snapToGrid w:val="0"/>
        <w:spacing w:before="119" w:line="331" w:lineRule="auto"/>
        <w:ind w:left="958" w:hanging="952"/>
        <w:rPr>
          <w:rFonts w:ascii="宋体" w:hAnsi="宋体"/>
          <w:szCs w:val="21"/>
        </w:rPr>
      </w:pPr>
      <w:r>
        <w:rPr>
          <w:rFonts w:ascii="宋体" w:hAnsi="宋体"/>
          <w:szCs w:val="21"/>
        </w:rPr>
        <w:t>12.2    货物运抵现场后，买方应在</w:t>
      </w:r>
      <w:r>
        <w:rPr>
          <w:rFonts w:ascii="宋体" w:hAnsi="宋体"/>
          <w:szCs w:val="21"/>
          <w:u w:val="single" w:color="FF0000"/>
        </w:rPr>
        <w:t xml:space="preserve"> </w:t>
      </w:r>
      <w:r>
        <w:rPr>
          <w:rFonts w:hint="eastAsia" w:ascii="宋体" w:hAnsi="宋体"/>
          <w:szCs w:val="21"/>
          <w:u w:val="single" w:color="FF0000"/>
        </w:rPr>
        <w:t>7</w:t>
      </w:r>
      <w:r>
        <w:rPr>
          <w:rFonts w:ascii="宋体" w:hAnsi="宋体"/>
          <w:szCs w:val="21"/>
          <w:u w:val="single" w:color="FF0000"/>
        </w:rPr>
        <w:t xml:space="preserve"> </w:t>
      </w:r>
      <w:r>
        <w:rPr>
          <w:rFonts w:ascii="宋体" w:hAnsi="宋体"/>
          <w:szCs w:val="21"/>
        </w:rPr>
        <w:t>日内组织验收，并制作验收备忘录，签署验收意见并报同级政府采购监督管理部门备案。</w:t>
      </w:r>
    </w:p>
    <w:p>
      <w:pPr>
        <w:snapToGrid w:val="0"/>
        <w:spacing w:before="119" w:line="331" w:lineRule="auto"/>
        <w:ind w:left="958" w:hanging="952"/>
        <w:rPr>
          <w:rFonts w:ascii="宋体" w:hAnsi="宋体"/>
          <w:szCs w:val="21"/>
        </w:rPr>
      </w:pPr>
      <w:r>
        <w:rPr>
          <w:rFonts w:ascii="宋体" w:hAnsi="宋体"/>
          <w:szCs w:val="21"/>
        </w:rPr>
        <w:t>12.3    买方有在货物制造过程中派员监造的权利, 卖方有义务为买方监造人员行使该权利提供方便。</w:t>
      </w:r>
    </w:p>
    <w:p>
      <w:pPr>
        <w:snapToGrid w:val="0"/>
        <w:spacing w:before="119" w:line="331" w:lineRule="auto"/>
        <w:ind w:left="958" w:hanging="952"/>
        <w:rPr>
          <w:rFonts w:ascii="宋体" w:hAnsi="宋体"/>
          <w:szCs w:val="21"/>
        </w:rPr>
      </w:pPr>
      <w:r>
        <w:rPr>
          <w:rFonts w:ascii="宋体" w:hAnsi="宋体"/>
          <w:szCs w:val="21"/>
        </w:rPr>
        <w:t>12.4    制造厂对所供货物进行机械运转试验和性能试验时，中标人必须提前通知买方。</w:t>
      </w:r>
    </w:p>
    <w:p>
      <w:pPr>
        <w:snapToGrid w:val="0"/>
        <w:spacing w:before="119" w:line="331" w:lineRule="auto"/>
        <w:rPr>
          <w:rFonts w:ascii="宋体" w:hAnsi="宋体"/>
          <w:szCs w:val="21"/>
        </w:rPr>
      </w:pPr>
    </w:p>
    <w:p>
      <w:pPr>
        <w:pStyle w:val="7"/>
        <w:snapToGrid w:val="0"/>
        <w:spacing w:line="331" w:lineRule="auto"/>
        <w:rPr>
          <w:rFonts w:hAnsi="宋体"/>
          <w:sz w:val="21"/>
          <w:szCs w:val="21"/>
        </w:rPr>
      </w:pPr>
      <w:bookmarkStart w:id="684" w:name="_Toc20352"/>
      <w:r>
        <w:rPr>
          <w:rFonts w:hAnsi="宋体"/>
          <w:sz w:val="21"/>
          <w:szCs w:val="21"/>
        </w:rPr>
        <w:t>13      索赔</w:t>
      </w:r>
      <w:bookmarkEnd w:id="684"/>
    </w:p>
    <w:p>
      <w:pPr>
        <w:snapToGrid w:val="0"/>
        <w:spacing w:before="119" w:line="331" w:lineRule="auto"/>
        <w:ind w:left="901" w:hanging="895"/>
        <w:rPr>
          <w:rFonts w:ascii="宋体" w:hAnsi="宋体"/>
          <w:szCs w:val="21"/>
        </w:rPr>
      </w:pPr>
      <w:r>
        <w:rPr>
          <w:rFonts w:ascii="宋体" w:hAnsi="宋体"/>
          <w:szCs w:val="21"/>
        </w:rPr>
        <w:t>13.1    如果货物的质量、规格、数量、重量</w:t>
      </w:r>
      <w:r>
        <w:rPr>
          <w:rFonts w:hint="eastAsia" w:ascii="宋体" w:hAnsi="宋体"/>
          <w:szCs w:val="21"/>
        </w:rPr>
        <w:t>、规格、型号、性能</w:t>
      </w:r>
      <w:r>
        <w:rPr>
          <w:rFonts w:ascii="宋体" w:hAnsi="宋体"/>
          <w:szCs w:val="21"/>
        </w:rPr>
        <w:t>等与合同不符，或在第11.5规定的质量保证期内证实货物存有缺陷，包括潜在的缺陷或使用不符合要求的材料等，买方有权向卖方提出索赔</w:t>
      </w:r>
      <w:r>
        <w:rPr>
          <w:rFonts w:hint="eastAsia" w:ascii="宋体" w:hAnsi="宋体"/>
          <w:szCs w:val="21"/>
        </w:rPr>
        <w:t>，卖方应当向买方承担违约责任，包括但不限于退货、更换货物、维修、减少价款、赔偿买方损失等违约责任。卖方不得以“</w:t>
      </w:r>
      <w:r>
        <w:rPr>
          <w:rFonts w:ascii="宋体" w:hAnsi="宋体"/>
          <w:szCs w:val="21"/>
        </w:rPr>
        <w:t>责任应由保险公司或运输部门承担</w:t>
      </w:r>
      <w:r>
        <w:rPr>
          <w:rFonts w:hint="eastAsia" w:ascii="宋体" w:hAnsi="宋体"/>
          <w:szCs w:val="21"/>
        </w:rPr>
        <w:t>”作为抗辩理由</w:t>
      </w:r>
      <w:r>
        <w:rPr>
          <w:rFonts w:ascii="宋体" w:hAnsi="宋体"/>
          <w:szCs w:val="21"/>
        </w:rPr>
        <w:t>。</w:t>
      </w:r>
      <w:r>
        <w:rPr>
          <w:rFonts w:hint="eastAsia" w:ascii="宋体" w:hAnsi="宋体"/>
          <w:szCs w:val="21"/>
        </w:rPr>
        <w:t>卖方向买方承担完毕违约责任之后，如果该损失属于保险理赔范围的或者运输部门对于造成该损失存在过错的，卖方有权向其追偿。</w:t>
      </w:r>
    </w:p>
    <w:p>
      <w:pPr>
        <w:snapToGrid w:val="0"/>
        <w:spacing w:before="119" w:line="331" w:lineRule="auto"/>
        <w:ind w:left="901" w:hanging="895"/>
        <w:rPr>
          <w:rFonts w:ascii="宋体" w:hAnsi="宋体"/>
          <w:szCs w:val="21"/>
        </w:rPr>
      </w:pPr>
      <w:r>
        <w:rPr>
          <w:rFonts w:ascii="宋体" w:hAnsi="宋体"/>
          <w:szCs w:val="21"/>
        </w:rPr>
        <w:t>13.2    在根据合同第</w:t>
      </w:r>
      <w:r>
        <w:rPr>
          <w:rFonts w:hint="eastAsia" w:ascii="宋体" w:hAnsi="宋体"/>
          <w:szCs w:val="21"/>
        </w:rPr>
        <w:t>12</w:t>
      </w:r>
      <w:r>
        <w:rPr>
          <w:rFonts w:ascii="宋体" w:hAnsi="宋体"/>
          <w:szCs w:val="21"/>
        </w:rPr>
        <w:t>条和第</w:t>
      </w:r>
      <w:r>
        <w:rPr>
          <w:rFonts w:hint="eastAsia" w:ascii="宋体" w:hAnsi="宋体"/>
          <w:szCs w:val="21"/>
        </w:rPr>
        <w:t>11.5</w:t>
      </w:r>
      <w:r>
        <w:rPr>
          <w:rFonts w:ascii="宋体" w:hAnsi="宋体"/>
          <w:szCs w:val="21"/>
        </w:rPr>
        <w:t>条规定的检验期和质量保证期内，如果卖方对买方提出的索赔负有责任，卖方应按照买方</w:t>
      </w:r>
      <w:r>
        <w:rPr>
          <w:rFonts w:hint="eastAsia" w:ascii="宋体" w:hAnsi="宋体"/>
          <w:szCs w:val="21"/>
        </w:rPr>
        <w:t>提出</w:t>
      </w:r>
      <w:r>
        <w:rPr>
          <w:rFonts w:ascii="宋体" w:hAnsi="宋体"/>
          <w:szCs w:val="21"/>
        </w:rPr>
        <w:t>的下列一种或多种方式解决索赔事宜：</w:t>
      </w:r>
    </w:p>
    <w:p>
      <w:pPr>
        <w:snapToGrid w:val="0"/>
        <w:spacing w:before="119" w:line="331" w:lineRule="auto"/>
        <w:ind w:left="958" w:hanging="952"/>
        <w:rPr>
          <w:rFonts w:ascii="宋体" w:hAnsi="宋体"/>
          <w:szCs w:val="21"/>
        </w:rPr>
      </w:pPr>
      <w:r>
        <w:rPr>
          <w:rFonts w:ascii="宋体" w:hAnsi="宋体"/>
          <w:szCs w:val="21"/>
        </w:rPr>
        <w:t xml:space="preserve">13.2.1  </w:t>
      </w:r>
      <w:r>
        <w:rPr>
          <w:rFonts w:hint="eastAsia" w:ascii="宋体" w:hAnsi="宋体"/>
          <w:szCs w:val="21"/>
        </w:rPr>
        <w:t>如果该货物</w:t>
      </w:r>
      <w:r>
        <w:rPr>
          <w:rFonts w:ascii="宋体" w:hAnsi="宋体"/>
          <w:szCs w:val="21"/>
        </w:rPr>
        <w:t>的质量、规格、数量、重量</w:t>
      </w:r>
      <w:r>
        <w:rPr>
          <w:rFonts w:hint="eastAsia" w:ascii="宋体" w:hAnsi="宋体"/>
          <w:szCs w:val="21"/>
        </w:rPr>
        <w:t>、规格、型号、性能</w:t>
      </w:r>
      <w:r>
        <w:rPr>
          <w:rFonts w:ascii="宋体" w:hAnsi="宋体"/>
          <w:szCs w:val="21"/>
        </w:rPr>
        <w:t>等与合同不符</w:t>
      </w:r>
      <w:r>
        <w:rPr>
          <w:rFonts w:hint="eastAsia" w:ascii="宋体" w:hAnsi="宋体"/>
          <w:szCs w:val="21"/>
        </w:rPr>
        <w:t>，卖方又拒绝履行更换货物的义务，则买方有权拒收该货物或者退货，即买方有权单方解除本合同</w:t>
      </w:r>
      <w:r>
        <w:rPr>
          <w:rFonts w:ascii="宋体" w:hAnsi="宋体"/>
          <w:szCs w:val="21"/>
        </w:rPr>
        <w:t>，卖方应将</w:t>
      </w:r>
      <w:r>
        <w:rPr>
          <w:rFonts w:hint="eastAsia" w:ascii="宋体" w:hAnsi="宋体"/>
          <w:szCs w:val="21"/>
        </w:rPr>
        <w:t>全部</w:t>
      </w:r>
      <w:r>
        <w:rPr>
          <w:rFonts w:ascii="宋体" w:hAnsi="宋体"/>
          <w:szCs w:val="21"/>
        </w:rPr>
        <w:t>货款退还给买方，并承担由此发生的一切损失</w:t>
      </w:r>
      <w:r>
        <w:rPr>
          <w:rFonts w:hint="eastAsia" w:ascii="宋体" w:hAnsi="宋体"/>
          <w:szCs w:val="21"/>
        </w:rPr>
        <w:t>（包括直接损失和和间接损失）</w:t>
      </w:r>
      <w:r>
        <w:rPr>
          <w:rFonts w:ascii="宋体" w:hAnsi="宋体"/>
          <w:szCs w:val="21"/>
        </w:rPr>
        <w:t>和费用，包括利息、银行手续费、运费、保险费、检验费、仓储费、装卸费以及为保护退回货物所需的其它必要费用。</w:t>
      </w:r>
    </w:p>
    <w:p>
      <w:pPr>
        <w:snapToGrid w:val="0"/>
        <w:spacing w:before="119" w:line="331" w:lineRule="auto"/>
        <w:ind w:left="958" w:hanging="952"/>
        <w:rPr>
          <w:rFonts w:ascii="宋体" w:hAnsi="宋体"/>
          <w:szCs w:val="21"/>
        </w:rPr>
      </w:pPr>
      <w:r>
        <w:rPr>
          <w:rFonts w:ascii="宋体" w:hAnsi="宋体"/>
          <w:szCs w:val="21"/>
        </w:rPr>
        <w:t>13.2.2  根据货物低劣程度、损坏程度以及买方所遭受损失的数额，经买卖双方商定降低货物的价格，或由有权的部门评估，以降低后的价格或评估价格为准。</w:t>
      </w:r>
    </w:p>
    <w:p>
      <w:pPr>
        <w:snapToGrid w:val="0"/>
        <w:spacing w:before="119" w:line="331" w:lineRule="auto"/>
        <w:ind w:left="958" w:hanging="952"/>
        <w:rPr>
          <w:rFonts w:ascii="宋体" w:hAnsi="宋体"/>
          <w:szCs w:val="21"/>
        </w:rPr>
      </w:pPr>
      <w:r>
        <w:rPr>
          <w:rFonts w:ascii="宋体" w:hAnsi="宋体"/>
          <w:szCs w:val="21"/>
        </w:rPr>
        <w:t>13.2.3  用符合规格、质量和性能要求的新零件、部件或货物来更换有缺陷的部分或／和修补缺陷部分，卖方应承担一切费用和风险并负担买方所发生的一切直接费用。同时，卖方应按合同第11条规定，相应延长</w:t>
      </w:r>
      <w:r>
        <w:rPr>
          <w:rFonts w:hint="eastAsia" w:ascii="宋体" w:hAnsi="宋体"/>
          <w:szCs w:val="21"/>
        </w:rPr>
        <w:t>该货物整体</w:t>
      </w:r>
      <w:r>
        <w:rPr>
          <w:rFonts w:ascii="宋体" w:hAnsi="宋体"/>
          <w:szCs w:val="21"/>
        </w:rPr>
        <w:t>的质量保证期。</w:t>
      </w:r>
    </w:p>
    <w:p>
      <w:pPr>
        <w:snapToGrid w:val="0"/>
        <w:spacing w:before="119" w:line="331" w:lineRule="auto"/>
        <w:ind w:left="958" w:hanging="952"/>
        <w:rPr>
          <w:rFonts w:ascii="宋体" w:hAnsi="宋体"/>
          <w:szCs w:val="21"/>
        </w:rPr>
      </w:pPr>
      <w:r>
        <w:rPr>
          <w:rFonts w:hint="eastAsia" w:ascii="宋体" w:hAnsi="宋体"/>
          <w:szCs w:val="21"/>
        </w:rPr>
        <w:t>13.2.4   在该货物的质量保证期内，如果该货物发生质量问题，卖方应在接到买方通知后24小时之内派人前来维修，如果该质量问题属于验收期间无法检验出的隐蔽瑕疵或者该质量问题经过卖方三次维修仍旧无法修复的，则买方有权要求解除本合同并退货，</w:t>
      </w:r>
      <w:r>
        <w:rPr>
          <w:rFonts w:ascii="宋体" w:hAnsi="宋体"/>
          <w:szCs w:val="21"/>
        </w:rPr>
        <w:t>卖方应将</w:t>
      </w:r>
      <w:r>
        <w:rPr>
          <w:rFonts w:hint="eastAsia" w:ascii="宋体" w:hAnsi="宋体"/>
          <w:szCs w:val="21"/>
        </w:rPr>
        <w:t>全部</w:t>
      </w:r>
      <w:r>
        <w:rPr>
          <w:rFonts w:ascii="宋体" w:hAnsi="宋体"/>
          <w:szCs w:val="21"/>
        </w:rPr>
        <w:t>货款退还给买方，并承担由此发生的一切损失</w:t>
      </w:r>
      <w:r>
        <w:rPr>
          <w:rFonts w:hint="eastAsia" w:ascii="宋体" w:hAnsi="宋体"/>
          <w:szCs w:val="21"/>
        </w:rPr>
        <w:t>（包括直接损失和和间接损失）</w:t>
      </w:r>
      <w:r>
        <w:rPr>
          <w:rFonts w:ascii="宋体" w:hAnsi="宋体"/>
          <w:szCs w:val="21"/>
        </w:rPr>
        <w:t>和费用，包括利息、银行手续费、运费、保险费、检验费、仓储费、装卸费以及为保护退回货物所需的其它必要费用。</w:t>
      </w:r>
      <w:r>
        <w:rPr>
          <w:rFonts w:hint="eastAsia" w:ascii="宋体" w:hAnsi="宋体"/>
          <w:szCs w:val="21"/>
        </w:rPr>
        <w:t>间接损失不仅包括该合同履行后能够给买方带来的可期待利益，同时间接损失还包括该货物出现质量问题给买方造成的其他间接损失，例如由该货物质量问题引发的停电或短路造成的其他设备损坏或者信息数据丢失等。</w:t>
      </w:r>
    </w:p>
    <w:p>
      <w:pPr>
        <w:snapToGrid w:val="0"/>
        <w:spacing w:before="119" w:line="331" w:lineRule="auto"/>
        <w:ind w:left="958" w:hanging="952"/>
        <w:rPr>
          <w:rFonts w:ascii="宋体" w:hAnsi="宋体"/>
          <w:szCs w:val="21"/>
        </w:rPr>
      </w:pPr>
      <w:r>
        <w:rPr>
          <w:rFonts w:ascii="宋体" w:hAnsi="宋体"/>
          <w:szCs w:val="21"/>
        </w:rPr>
        <w:t>13.3    如果在买方发出索赔通知后</w:t>
      </w:r>
      <w:r>
        <w:rPr>
          <w:rFonts w:ascii="宋体" w:hAnsi="宋体"/>
          <w:szCs w:val="21"/>
          <w:u w:val="single" w:color="FF0000"/>
        </w:rPr>
        <w:t xml:space="preserve">  </w:t>
      </w:r>
      <w:r>
        <w:rPr>
          <w:rFonts w:hint="eastAsia" w:ascii="宋体" w:hAnsi="宋体"/>
          <w:szCs w:val="21"/>
          <w:u w:val="single" w:color="FF0000"/>
        </w:rPr>
        <w:t>15</w:t>
      </w:r>
      <w:r>
        <w:rPr>
          <w:rFonts w:ascii="宋体" w:hAnsi="宋体"/>
          <w:szCs w:val="21"/>
          <w:u w:val="single" w:color="FF0000"/>
        </w:rPr>
        <w:t xml:space="preserve"> </w:t>
      </w:r>
      <w:r>
        <w:rPr>
          <w:rFonts w:ascii="宋体" w:hAnsi="宋体"/>
          <w:szCs w:val="21"/>
        </w:rPr>
        <w:t>天内，卖方未作答复，上述索赔应视为已被卖方接受。如卖方未能在买方提出索赔通知后</w:t>
      </w:r>
      <w:r>
        <w:rPr>
          <w:rFonts w:ascii="宋体" w:hAnsi="宋体"/>
          <w:szCs w:val="21"/>
          <w:u w:val="single" w:color="FF0000"/>
        </w:rPr>
        <w:t xml:space="preserve"> </w:t>
      </w:r>
      <w:r>
        <w:rPr>
          <w:rFonts w:hint="eastAsia" w:ascii="宋体" w:hAnsi="宋体"/>
          <w:szCs w:val="21"/>
          <w:u w:val="single" w:color="FF0000"/>
        </w:rPr>
        <w:t>15</w:t>
      </w:r>
      <w:r>
        <w:rPr>
          <w:rFonts w:ascii="宋体" w:hAnsi="宋体"/>
          <w:szCs w:val="21"/>
          <w:u w:val="single" w:color="FF0000"/>
        </w:rPr>
        <w:t xml:space="preserve">  </w:t>
      </w:r>
      <w:r>
        <w:rPr>
          <w:rFonts w:ascii="宋体" w:hAnsi="宋体"/>
          <w:szCs w:val="21"/>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pPr>
        <w:pStyle w:val="7"/>
        <w:snapToGrid w:val="0"/>
        <w:spacing w:line="331" w:lineRule="auto"/>
        <w:rPr>
          <w:rFonts w:hAnsi="宋体"/>
          <w:sz w:val="21"/>
          <w:szCs w:val="21"/>
        </w:rPr>
      </w:pPr>
      <w:bookmarkStart w:id="685" w:name="_Toc13787"/>
      <w:r>
        <w:rPr>
          <w:rFonts w:hAnsi="宋体"/>
          <w:sz w:val="21"/>
          <w:szCs w:val="21"/>
        </w:rPr>
        <w:t>14      迟延交货</w:t>
      </w:r>
      <w:bookmarkEnd w:id="685"/>
    </w:p>
    <w:p>
      <w:pPr>
        <w:snapToGrid w:val="0"/>
        <w:spacing w:before="119" w:line="331" w:lineRule="auto"/>
        <w:ind w:left="901" w:hanging="952"/>
        <w:rPr>
          <w:rFonts w:ascii="宋体" w:hAnsi="宋体"/>
          <w:szCs w:val="21"/>
        </w:rPr>
      </w:pPr>
      <w:r>
        <w:rPr>
          <w:rFonts w:ascii="宋体" w:hAnsi="宋体"/>
          <w:szCs w:val="21"/>
        </w:rPr>
        <w:t>14.1    卖方应按照“货物需求一览表及技术规格”中买方规定的时间表交货和提供服务。</w:t>
      </w:r>
    </w:p>
    <w:p>
      <w:pPr>
        <w:snapToGrid w:val="0"/>
        <w:spacing w:before="119" w:line="331" w:lineRule="auto"/>
        <w:ind w:left="958" w:hanging="952"/>
        <w:rPr>
          <w:rFonts w:ascii="宋体" w:hAnsi="宋体"/>
          <w:szCs w:val="21"/>
        </w:rPr>
      </w:pPr>
      <w:r>
        <w:rPr>
          <w:rFonts w:ascii="宋体" w:hAnsi="宋体"/>
          <w:szCs w:val="21"/>
        </w:rPr>
        <w:t>14.2    如果卖方无正当理由迟延交货，买方有权提出违约损失赔偿</w:t>
      </w:r>
      <w:r>
        <w:rPr>
          <w:rFonts w:hint="eastAsia" w:ascii="宋体" w:hAnsi="宋体"/>
          <w:szCs w:val="21"/>
        </w:rPr>
        <w:t>并有权要求</w:t>
      </w:r>
      <w:r>
        <w:rPr>
          <w:rFonts w:ascii="宋体" w:hAnsi="宋体"/>
          <w:szCs w:val="21"/>
        </w:rPr>
        <w:t>解除合同。</w:t>
      </w:r>
    </w:p>
    <w:p>
      <w:pPr>
        <w:snapToGrid w:val="0"/>
        <w:spacing w:before="119" w:line="331" w:lineRule="auto"/>
        <w:ind w:left="958" w:hanging="952"/>
        <w:rPr>
          <w:rFonts w:ascii="宋体" w:hAnsi="宋体"/>
          <w:szCs w:val="21"/>
        </w:rPr>
      </w:pPr>
      <w:r>
        <w:rPr>
          <w:rFonts w:ascii="宋体" w:hAnsi="宋体"/>
          <w:szCs w:val="21"/>
        </w:rPr>
        <w:t>14.3    在履行合同过程中，如果卖方遇到不能按时交货和提供服务的情况，应及时以书面形式将不能按时交货的理由、预期延误时间通知买方。买方收到卖方 通知后，认为其理由正当的，可酌情延长交货时间。</w:t>
      </w:r>
    </w:p>
    <w:p>
      <w:pPr>
        <w:pStyle w:val="7"/>
        <w:snapToGrid w:val="0"/>
        <w:spacing w:line="331" w:lineRule="auto"/>
        <w:rPr>
          <w:rFonts w:hAnsi="宋体"/>
          <w:sz w:val="21"/>
          <w:szCs w:val="21"/>
        </w:rPr>
      </w:pPr>
      <w:bookmarkStart w:id="686" w:name="_Toc22040"/>
      <w:r>
        <w:rPr>
          <w:rFonts w:hAnsi="宋体"/>
          <w:sz w:val="21"/>
          <w:szCs w:val="21"/>
        </w:rPr>
        <w:t>15      违约赔偿</w:t>
      </w:r>
      <w:bookmarkEnd w:id="686"/>
    </w:p>
    <w:p>
      <w:pPr>
        <w:snapToGrid w:val="0"/>
        <w:spacing w:before="119" w:line="331" w:lineRule="auto"/>
        <w:ind w:left="958" w:hanging="952"/>
        <w:rPr>
          <w:rFonts w:ascii="宋体" w:hAnsi="宋体"/>
          <w:szCs w:val="21"/>
        </w:rPr>
      </w:pPr>
      <w:r>
        <w:rPr>
          <w:rFonts w:ascii="宋体" w:hAnsi="宋体"/>
          <w:szCs w:val="21"/>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5%。一周按７天计算，不足７天按一周计算。如果达到最高限额，买方有权解除合同。</w:t>
      </w:r>
    </w:p>
    <w:p>
      <w:pPr>
        <w:pStyle w:val="7"/>
        <w:snapToGrid w:val="0"/>
        <w:spacing w:line="331" w:lineRule="auto"/>
        <w:rPr>
          <w:rFonts w:hAnsi="宋体"/>
          <w:sz w:val="21"/>
          <w:szCs w:val="21"/>
        </w:rPr>
      </w:pPr>
      <w:bookmarkStart w:id="687" w:name="_Toc3814"/>
      <w:r>
        <w:rPr>
          <w:rFonts w:hAnsi="宋体"/>
          <w:sz w:val="21"/>
          <w:szCs w:val="21"/>
        </w:rPr>
        <w:t>16      不可抗力</w:t>
      </w:r>
      <w:bookmarkEnd w:id="687"/>
    </w:p>
    <w:p>
      <w:pPr>
        <w:snapToGrid w:val="0"/>
        <w:spacing w:before="119" w:line="331" w:lineRule="auto"/>
        <w:ind w:left="958" w:hanging="952"/>
        <w:rPr>
          <w:rFonts w:ascii="宋体" w:hAnsi="宋体"/>
          <w:szCs w:val="21"/>
        </w:rPr>
      </w:pPr>
      <w:r>
        <w:rPr>
          <w:rFonts w:ascii="宋体" w:hAnsi="宋体"/>
          <w:szCs w:val="21"/>
        </w:rPr>
        <w:t>16.1    如果双方中任何一方遭遇法律规定的不可抗力，致使合同履行受阻时，履行合同的期限应予延长，延长的期限应相当于不可抗力所影响的时间。</w:t>
      </w:r>
    </w:p>
    <w:p>
      <w:pPr>
        <w:snapToGrid w:val="0"/>
        <w:spacing w:before="119" w:line="331" w:lineRule="auto"/>
        <w:ind w:left="958" w:hanging="952"/>
        <w:rPr>
          <w:rFonts w:ascii="宋体" w:hAnsi="宋体"/>
          <w:szCs w:val="21"/>
        </w:rPr>
      </w:pPr>
      <w:r>
        <w:rPr>
          <w:rFonts w:ascii="宋体" w:hAnsi="宋体"/>
          <w:szCs w:val="21"/>
        </w:rPr>
        <w:t>16.2    受事故影响的一方应在不可抗力的事故发生后尽快书面形式通知另一方，并在事故发生后</w:t>
      </w:r>
      <w:r>
        <w:rPr>
          <w:rFonts w:ascii="宋体" w:hAnsi="宋体"/>
          <w:szCs w:val="21"/>
          <w:u w:val="single" w:color="FF0000"/>
        </w:rPr>
        <w:t xml:space="preserve"> </w:t>
      </w:r>
      <w:r>
        <w:rPr>
          <w:rFonts w:hint="eastAsia" w:ascii="宋体" w:hAnsi="宋体"/>
          <w:szCs w:val="21"/>
          <w:u w:val="single" w:color="FF0000"/>
        </w:rPr>
        <w:t>15</w:t>
      </w:r>
      <w:r>
        <w:rPr>
          <w:rFonts w:ascii="宋体" w:hAnsi="宋体"/>
          <w:szCs w:val="21"/>
          <w:u w:val="single" w:color="FF0000"/>
        </w:rPr>
        <w:t xml:space="preserve"> </w:t>
      </w:r>
      <w:r>
        <w:rPr>
          <w:rFonts w:ascii="宋体" w:hAnsi="宋体"/>
          <w:szCs w:val="21"/>
        </w:rPr>
        <w:t>天内，将有关部门出具的证明文件送达另一方。</w:t>
      </w:r>
    </w:p>
    <w:p>
      <w:pPr>
        <w:snapToGrid w:val="0"/>
        <w:spacing w:before="119" w:line="331" w:lineRule="auto"/>
        <w:ind w:left="958" w:hanging="952"/>
        <w:rPr>
          <w:rFonts w:ascii="宋体" w:hAnsi="宋体"/>
          <w:szCs w:val="21"/>
        </w:rPr>
      </w:pPr>
      <w:r>
        <w:rPr>
          <w:rFonts w:ascii="宋体" w:hAnsi="宋体"/>
          <w:szCs w:val="21"/>
        </w:rPr>
        <w:t>16.3</w:t>
      </w:r>
      <w:r>
        <w:rPr>
          <w:rFonts w:hint="eastAsia" w:ascii="宋体" w:hAnsi="宋体"/>
          <w:szCs w:val="21"/>
        </w:rPr>
        <w:t xml:space="preserve">   </w:t>
      </w:r>
      <w:r>
        <w:rPr>
          <w:rFonts w:ascii="宋体" w:hAnsi="宋体"/>
          <w:szCs w:val="21"/>
        </w:rPr>
        <w:t>不可抗力使合同的某些内容有变更必要的， 双方应通过协商在</w:t>
      </w:r>
      <w:r>
        <w:rPr>
          <w:rFonts w:ascii="宋体" w:hAnsi="宋体"/>
          <w:szCs w:val="21"/>
          <w:u w:val="single" w:color="FF0000"/>
        </w:rPr>
        <w:t xml:space="preserve"> </w:t>
      </w:r>
      <w:r>
        <w:rPr>
          <w:rFonts w:hint="eastAsia" w:ascii="宋体" w:hAnsi="宋体"/>
          <w:szCs w:val="21"/>
          <w:u w:val="single" w:color="FF0000"/>
        </w:rPr>
        <w:t>15</w:t>
      </w:r>
      <w:r>
        <w:rPr>
          <w:rFonts w:ascii="宋体" w:hAnsi="宋体"/>
          <w:szCs w:val="21"/>
          <w:u w:val="single" w:color="FF0000"/>
        </w:rPr>
        <w:t xml:space="preserve">  </w:t>
      </w:r>
      <w:r>
        <w:rPr>
          <w:rFonts w:ascii="宋体" w:hAnsi="宋体"/>
          <w:szCs w:val="21"/>
        </w:rPr>
        <w:t>日内达成进一步履行合同的协议，因不可抗力致使合同不能履行的，合同终止。</w:t>
      </w:r>
    </w:p>
    <w:p>
      <w:pPr>
        <w:pStyle w:val="7"/>
        <w:snapToGrid w:val="0"/>
        <w:spacing w:line="331" w:lineRule="auto"/>
        <w:rPr>
          <w:rFonts w:hAnsi="宋体"/>
          <w:sz w:val="21"/>
          <w:szCs w:val="21"/>
        </w:rPr>
      </w:pPr>
      <w:bookmarkStart w:id="688" w:name="_Toc7580"/>
      <w:r>
        <w:rPr>
          <w:rFonts w:hAnsi="宋体"/>
          <w:sz w:val="21"/>
          <w:szCs w:val="21"/>
        </w:rPr>
        <w:t>17      税费</w:t>
      </w:r>
      <w:bookmarkEnd w:id="688"/>
    </w:p>
    <w:p>
      <w:pPr>
        <w:snapToGrid w:val="0"/>
        <w:spacing w:before="119" w:line="331" w:lineRule="auto"/>
        <w:ind w:left="958" w:hanging="952"/>
        <w:rPr>
          <w:rFonts w:ascii="宋体" w:hAnsi="宋体"/>
          <w:szCs w:val="21"/>
        </w:rPr>
      </w:pPr>
      <w:r>
        <w:rPr>
          <w:rFonts w:ascii="宋体" w:hAnsi="宋体"/>
          <w:szCs w:val="21"/>
        </w:rPr>
        <w:t>17.1    与本合同有关的一切税费均适用中华人民共和国法律的相关规定。</w:t>
      </w:r>
    </w:p>
    <w:p>
      <w:pPr>
        <w:pStyle w:val="7"/>
        <w:snapToGrid w:val="0"/>
        <w:spacing w:line="331" w:lineRule="auto"/>
        <w:rPr>
          <w:rFonts w:hAnsi="宋体"/>
          <w:sz w:val="21"/>
          <w:szCs w:val="21"/>
        </w:rPr>
      </w:pPr>
      <w:bookmarkStart w:id="689" w:name="_Toc29963"/>
      <w:r>
        <w:rPr>
          <w:rFonts w:hAnsi="宋体"/>
          <w:sz w:val="21"/>
          <w:szCs w:val="21"/>
        </w:rPr>
        <w:t>18      合同争议的解决</w:t>
      </w:r>
      <w:bookmarkEnd w:id="689"/>
    </w:p>
    <w:p>
      <w:pPr>
        <w:snapToGrid w:val="0"/>
        <w:spacing w:before="119" w:line="331" w:lineRule="auto"/>
        <w:ind w:left="958" w:hanging="952"/>
        <w:rPr>
          <w:rFonts w:ascii="宋体" w:hAnsi="宋体"/>
          <w:szCs w:val="21"/>
        </w:rPr>
      </w:pPr>
      <w:r>
        <w:rPr>
          <w:rFonts w:ascii="宋体" w:hAnsi="宋体"/>
          <w:szCs w:val="21"/>
        </w:rPr>
        <w:t>18.1    因合同履行中发生的争议，可通过合同当事人双方友好协商解决。</w:t>
      </w:r>
      <w:r>
        <w:rPr>
          <w:rFonts w:hint="eastAsia" w:ascii="宋体" w:hAnsi="宋体"/>
          <w:szCs w:val="21"/>
        </w:rPr>
        <w:t>协商不成的，任何一方均可</w:t>
      </w:r>
      <w:r>
        <w:rPr>
          <w:rFonts w:ascii="宋体" w:hAnsi="宋体"/>
          <w:szCs w:val="21"/>
        </w:rPr>
        <w:t>向</w:t>
      </w:r>
      <w:r>
        <w:rPr>
          <w:rFonts w:hint="eastAsia" w:ascii="宋体" w:hAnsi="宋体"/>
          <w:szCs w:val="21"/>
        </w:rPr>
        <w:t>合同签订地</w:t>
      </w:r>
      <w:r>
        <w:rPr>
          <w:rFonts w:ascii="宋体" w:hAnsi="宋体"/>
          <w:szCs w:val="21"/>
        </w:rPr>
        <w:t>人民法院</w:t>
      </w:r>
      <w:r>
        <w:rPr>
          <w:rFonts w:hint="eastAsia" w:ascii="宋体" w:hAnsi="宋体"/>
          <w:szCs w:val="21"/>
        </w:rPr>
        <w:t>（北京市海淀区人民法院）</w:t>
      </w:r>
      <w:r>
        <w:rPr>
          <w:rFonts w:ascii="宋体" w:hAnsi="宋体"/>
          <w:szCs w:val="21"/>
        </w:rPr>
        <w:t>提起诉讼。</w:t>
      </w:r>
    </w:p>
    <w:p>
      <w:pPr>
        <w:tabs>
          <w:tab w:val="left" w:pos="901"/>
        </w:tabs>
        <w:snapToGrid w:val="0"/>
        <w:spacing w:before="119" w:line="331" w:lineRule="auto"/>
        <w:rPr>
          <w:rFonts w:ascii="宋体" w:hAnsi="宋体"/>
          <w:szCs w:val="21"/>
        </w:rPr>
      </w:pPr>
    </w:p>
    <w:p>
      <w:pPr>
        <w:pStyle w:val="7"/>
        <w:snapToGrid w:val="0"/>
        <w:spacing w:line="331" w:lineRule="auto"/>
        <w:rPr>
          <w:rFonts w:hAnsi="宋体"/>
          <w:sz w:val="21"/>
          <w:szCs w:val="21"/>
        </w:rPr>
      </w:pPr>
      <w:bookmarkStart w:id="690" w:name="_Toc5942"/>
      <w:r>
        <w:rPr>
          <w:rFonts w:hAnsi="宋体"/>
          <w:sz w:val="21"/>
          <w:szCs w:val="21"/>
        </w:rPr>
        <w:t>19      违约解除合同</w:t>
      </w:r>
      <w:bookmarkEnd w:id="690"/>
    </w:p>
    <w:p>
      <w:pPr>
        <w:snapToGrid w:val="0"/>
        <w:spacing w:before="119" w:line="331" w:lineRule="auto"/>
        <w:ind w:left="958" w:hanging="952"/>
        <w:rPr>
          <w:rFonts w:ascii="宋体" w:hAnsi="宋体"/>
          <w:szCs w:val="21"/>
        </w:rPr>
      </w:pPr>
      <w:r>
        <w:rPr>
          <w:rFonts w:ascii="宋体" w:hAnsi="宋体"/>
          <w:szCs w:val="21"/>
        </w:rPr>
        <w:t>19.1    在卖方违约的情况下，买方可向卖方发出书面通知，部分或全部</w:t>
      </w:r>
      <w:r>
        <w:rPr>
          <w:rFonts w:hint="eastAsia" w:ascii="宋体" w:hAnsi="宋体"/>
          <w:szCs w:val="21"/>
        </w:rPr>
        <w:t>解除</w:t>
      </w:r>
      <w:r>
        <w:rPr>
          <w:rFonts w:ascii="宋体" w:hAnsi="宋体"/>
          <w:szCs w:val="21"/>
        </w:rPr>
        <w:t>合同。同时保留向卖方追诉的权利。</w:t>
      </w:r>
    </w:p>
    <w:p>
      <w:pPr>
        <w:snapToGrid w:val="0"/>
        <w:spacing w:before="119" w:line="331" w:lineRule="auto"/>
        <w:ind w:left="958" w:hanging="952"/>
        <w:rPr>
          <w:rFonts w:ascii="宋体" w:hAnsi="宋体"/>
          <w:szCs w:val="21"/>
        </w:rPr>
      </w:pPr>
      <w:r>
        <w:rPr>
          <w:rFonts w:ascii="宋体" w:hAnsi="宋体"/>
          <w:szCs w:val="21"/>
        </w:rPr>
        <w:t xml:space="preserve">19.1.1  卖方未能在合同规定的限期或买方同意延长的限期内，提供全部或部分货物的； </w:t>
      </w:r>
    </w:p>
    <w:p>
      <w:pPr>
        <w:snapToGrid w:val="0"/>
        <w:spacing w:before="119" w:line="331" w:lineRule="auto"/>
        <w:rPr>
          <w:rFonts w:ascii="宋体" w:hAnsi="宋体"/>
          <w:szCs w:val="21"/>
        </w:rPr>
      </w:pPr>
      <w:r>
        <w:rPr>
          <w:rFonts w:ascii="宋体" w:hAnsi="宋体"/>
          <w:szCs w:val="21"/>
        </w:rPr>
        <w:t>19.1.2  卖方未能履行合同规定的其它主要义务的；</w:t>
      </w:r>
    </w:p>
    <w:p>
      <w:pPr>
        <w:snapToGrid w:val="0"/>
        <w:spacing w:before="119" w:line="331" w:lineRule="auto"/>
        <w:rPr>
          <w:rFonts w:ascii="宋体" w:hAnsi="宋体"/>
          <w:szCs w:val="21"/>
        </w:rPr>
      </w:pPr>
      <w:r>
        <w:rPr>
          <w:rFonts w:ascii="宋体" w:hAnsi="宋体"/>
          <w:szCs w:val="21"/>
        </w:rPr>
        <w:t>19.1.3  买方认为卖方在本合同履行过程中有腐败和欺诈行为的。</w:t>
      </w:r>
    </w:p>
    <w:p>
      <w:pPr>
        <w:snapToGrid w:val="0"/>
        <w:spacing w:before="119" w:line="331" w:lineRule="auto"/>
        <w:rPr>
          <w:rFonts w:ascii="宋体" w:hAnsi="宋体"/>
          <w:szCs w:val="21"/>
        </w:rPr>
      </w:pPr>
      <w:r>
        <w:rPr>
          <w:rFonts w:ascii="宋体" w:hAnsi="宋体"/>
          <w:szCs w:val="21"/>
        </w:rPr>
        <w:t>19.1.3.1     “腐败行为”和“欺诈行为”定义如下:</w:t>
      </w:r>
    </w:p>
    <w:p>
      <w:pPr>
        <w:snapToGrid w:val="0"/>
        <w:spacing w:before="119" w:line="331" w:lineRule="auto"/>
        <w:ind w:left="1439" w:hanging="1434"/>
        <w:rPr>
          <w:rFonts w:ascii="宋体" w:hAnsi="宋体"/>
          <w:szCs w:val="21"/>
        </w:rPr>
      </w:pPr>
      <w:r>
        <w:rPr>
          <w:rFonts w:ascii="宋体" w:hAnsi="宋体"/>
          <w:szCs w:val="21"/>
        </w:rPr>
        <w:t>19.1.3.1.1   “腐败行为”是指提供/给予/接受或索取任何有价值的东西来影响买方在合同签订、履行过程中的行为。</w:t>
      </w:r>
    </w:p>
    <w:p>
      <w:pPr>
        <w:snapToGrid w:val="0"/>
        <w:spacing w:before="119" w:line="331" w:lineRule="auto"/>
        <w:ind w:left="1439" w:hanging="1434"/>
        <w:rPr>
          <w:rFonts w:ascii="宋体" w:hAnsi="宋体"/>
          <w:szCs w:val="21"/>
        </w:rPr>
      </w:pPr>
      <w:r>
        <w:rPr>
          <w:rFonts w:ascii="宋体" w:hAnsi="宋体"/>
          <w:szCs w:val="21"/>
        </w:rPr>
        <w:t>19.1.3.1.2   “欺诈行为”是指为了影响合同签订、履行过程，以谎报事实的方法， 损害买方的利益的行为。</w:t>
      </w:r>
    </w:p>
    <w:p>
      <w:pPr>
        <w:snapToGrid w:val="0"/>
        <w:spacing w:before="119" w:line="331" w:lineRule="auto"/>
        <w:ind w:left="958" w:hanging="952"/>
        <w:rPr>
          <w:rFonts w:ascii="宋体" w:hAnsi="宋体"/>
          <w:szCs w:val="21"/>
        </w:rPr>
      </w:pPr>
      <w:r>
        <w:rPr>
          <w:rFonts w:ascii="宋体" w:hAnsi="宋体"/>
          <w:szCs w:val="21"/>
        </w:rPr>
        <w:t>19.2    在买方根据上述第19.1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pPr>
        <w:pStyle w:val="7"/>
        <w:snapToGrid w:val="0"/>
        <w:spacing w:line="331" w:lineRule="auto"/>
        <w:rPr>
          <w:rFonts w:hAnsi="宋体"/>
          <w:sz w:val="21"/>
          <w:szCs w:val="21"/>
        </w:rPr>
      </w:pPr>
      <w:bookmarkStart w:id="691" w:name="_Toc24000"/>
      <w:r>
        <w:rPr>
          <w:rFonts w:hAnsi="宋体"/>
          <w:sz w:val="21"/>
          <w:szCs w:val="21"/>
        </w:rPr>
        <w:t>20      破产终止合同</w:t>
      </w:r>
      <w:bookmarkEnd w:id="691"/>
    </w:p>
    <w:p>
      <w:pPr>
        <w:snapToGrid w:val="0"/>
        <w:spacing w:before="119" w:line="331" w:lineRule="auto"/>
        <w:ind w:left="958" w:hanging="952"/>
        <w:rPr>
          <w:rFonts w:ascii="宋体" w:hAnsi="宋体"/>
          <w:szCs w:val="21"/>
        </w:rPr>
      </w:pPr>
      <w:r>
        <w:rPr>
          <w:rFonts w:ascii="宋体" w:hAnsi="宋体"/>
          <w:szCs w:val="21"/>
        </w:rPr>
        <w:t>20.1    如果卖方破产或无清偿能力时，买方经报同级政府采购监督管理部门审批后，可在任何时候以书面通知卖方，提出终止合同而不给卖方补偿。该合同的终止将不损害或不影响买方已经采取或将要采取任何行动或补救措施的权利。</w:t>
      </w:r>
    </w:p>
    <w:p>
      <w:pPr>
        <w:pStyle w:val="7"/>
        <w:snapToGrid w:val="0"/>
        <w:spacing w:line="331" w:lineRule="auto"/>
        <w:rPr>
          <w:rFonts w:hAnsi="宋体"/>
          <w:sz w:val="21"/>
          <w:szCs w:val="21"/>
        </w:rPr>
      </w:pPr>
      <w:bookmarkStart w:id="692" w:name="_Toc20399"/>
      <w:r>
        <w:rPr>
          <w:rFonts w:hAnsi="宋体"/>
          <w:b w:val="0"/>
          <w:sz w:val="21"/>
          <w:szCs w:val="21"/>
        </w:rPr>
        <w:t>21     转让和分包</w:t>
      </w:r>
      <w:bookmarkEnd w:id="692"/>
    </w:p>
    <w:p>
      <w:pPr>
        <w:snapToGrid w:val="0"/>
        <w:spacing w:before="119" w:line="331" w:lineRule="auto"/>
        <w:rPr>
          <w:rFonts w:ascii="宋体" w:hAnsi="宋体"/>
          <w:szCs w:val="21"/>
        </w:rPr>
      </w:pPr>
      <w:r>
        <w:rPr>
          <w:rFonts w:ascii="宋体" w:hAnsi="宋体"/>
          <w:szCs w:val="21"/>
        </w:rPr>
        <w:t>21.1   政府采购合同不能转让。</w:t>
      </w:r>
    </w:p>
    <w:p>
      <w:pPr>
        <w:snapToGrid w:val="0"/>
        <w:spacing w:before="119" w:line="331" w:lineRule="auto"/>
        <w:rPr>
          <w:rFonts w:ascii="宋体" w:hAnsi="宋体"/>
          <w:szCs w:val="21"/>
        </w:rPr>
      </w:pPr>
      <w:r>
        <w:rPr>
          <w:rFonts w:ascii="宋体" w:hAnsi="宋体"/>
          <w:szCs w:val="21"/>
        </w:rPr>
        <w:t>21.</w:t>
      </w:r>
      <w:r>
        <w:rPr>
          <w:rFonts w:hint="eastAsia" w:ascii="宋体" w:hAnsi="宋体"/>
          <w:szCs w:val="21"/>
        </w:rPr>
        <w:t>2</w:t>
      </w:r>
      <w:r>
        <w:rPr>
          <w:rFonts w:ascii="宋体" w:hAnsi="宋体"/>
          <w:szCs w:val="21"/>
        </w:rPr>
        <w:t>经买方和同级政府采购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pPr>
        <w:pStyle w:val="7"/>
        <w:snapToGrid w:val="0"/>
        <w:spacing w:line="331" w:lineRule="auto"/>
        <w:rPr>
          <w:rFonts w:hAnsi="宋体"/>
          <w:sz w:val="21"/>
          <w:szCs w:val="21"/>
        </w:rPr>
      </w:pPr>
      <w:bookmarkStart w:id="693" w:name="_Toc809"/>
      <w:r>
        <w:rPr>
          <w:rFonts w:hAnsi="宋体"/>
          <w:sz w:val="21"/>
          <w:szCs w:val="21"/>
        </w:rPr>
        <w:t xml:space="preserve">22     </w:t>
      </w:r>
      <w:r>
        <w:rPr>
          <w:rFonts w:hAnsi="宋体"/>
          <w:sz w:val="21"/>
          <w:szCs w:val="21"/>
          <w:u w:color="FF0000"/>
        </w:rPr>
        <w:t xml:space="preserve"> 合同修改</w:t>
      </w:r>
      <w:bookmarkEnd w:id="693"/>
    </w:p>
    <w:p>
      <w:pPr>
        <w:snapToGrid w:val="0"/>
        <w:spacing w:before="119" w:line="331" w:lineRule="auto"/>
        <w:ind w:left="958" w:hanging="952"/>
        <w:rPr>
          <w:rFonts w:ascii="宋体" w:hAnsi="宋体"/>
          <w:szCs w:val="21"/>
        </w:rPr>
      </w:pPr>
      <w:r>
        <w:rPr>
          <w:rFonts w:ascii="宋体" w:hAnsi="宋体"/>
          <w:szCs w:val="21"/>
        </w:rPr>
        <w:t>22.1    买方和卖方都不得擅自变更本合同，但合同继续履行将损害国家和社会公共利益的除外。如必须对合同条款进行改动时，当事人双方须共同签署书面文件，做为合同的补充，并报同级政府采购监督管理部门备案。</w:t>
      </w:r>
    </w:p>
    <w:p>
      <w:pPr>
        <w:pStyle w:val="7"/>
        <w:snapToGrid w:val="0"/>
        <w:spacing w:line="331" w:lineRule="auto"/>
        <w:rPr>
          <w:rFonts w:hAnsi="宋体"/>
          <w:sz w:val="21"/>
          <w:szCs w:val="21"/>
        </w:rPr>
      </w:pPr>
      <w:bookmarkStart w:id="694" w:name="_Toc32536"/>
      <w:r>
        <w:rPr>
          <w:rFonts w:hAnsi="宋体"/>
          <w:sz w:val="21"/>
          <w:szCs w:val="21"/>
        </w:rPr>
        <w:t>23      通知</w:t>
      </w:r>
      <w:bookmarkEnd w:id="694"/>
    </w:p>
    <w:p>
      <w:pPr>
        <w:snapToGrid w:val="0"/>
        <w:spacing w:before="119" w:line="331" w:lineRule="auto"/>
        <w:ind w:left="958" w:hanging="952"/>
        <w:rPr>
          <w:rFonts w:ascii="宋体" w:hAnsi="宋体"/>
          <w:szCs w:val="21"/>
        </w:rPr>
      </w:pPr>
      <w:r>
        <w:rPr>
          <w:rFonts w:ascii="宋体" w:hAnsi="宋体"/>
          <w:szCs w:val="21"/>
        </w:rPr>
        <w:t>23.1    本合同任何一方给另一方的通知，都应以书面形式发送，而另一方也应以书面形式确认并发送到对方明确的地址。</w:t>
      </w:r>
    </w:p>
    <w:p>
      <w:pPr>
        <w:pStyle w:val="7"/>
        <w:snapToGrid w:val="0"/>
        <w:rPr>
          <w:rFonts w:hAnsi="宋体"/>
          <w:sz w:val="21"/>
          <w:szCs w:val="21"/>
        </w:rPr>
      </w:pPr>
      <w:bookmarkStart w:id="695" w:name="_Toc29094"/>
      <w:r>
        <w:rPr>
          <w:rFonts w:hAnsi="宋体"/>
          <w:sz w:val="21"/>
          <w:szCs w:val="21"/>
        </w:rPr>
        <w:t>24      计量单位</w:t>
      </w:r>
      <w:bookmarkEnd w:id="695"/>
    </w:p>
    <w:p>
      <w:pPr>
        <w:snapToGrid w:val="0"/>
        <w:spacing w:before="119"/>
        <w:rPr>
          <w:rFonts w:ascii="宋体" w:hAnsi="宋体"/>
          <w:szCs w:val="21"/>
        </w:rPr>
      </w:pPr>
      <w:r>
        <w:rPr>
          <w:rFonts w:ascii="宋体" w:hAnsi="宋体"/>
          <w:szCs w:val="21"/>
        </w:rPr>
        <w:t>24.1    除技术规范中另有规定外,计量单位均使用国家法定计量</w:t>
      </w:r>
    </w:p>
    <w:p>
      <w:pPr>
        <w:snapToGrid w:val="0"/>
        <w:spacing w:before="119"/>
        <w:rPr>
          <w:rFonts w:ascii="宋体" w:hAnsi="宋体"/>
          <w:szCs w:val="21"/>
        </w:rPr>
      </w:pPr>
      <w:r>
        <w:rPr>
          <w:rFonts w:ascii="宋体" w:hAnsi="宋体"/>
          <w:szCs w:val="21"/>
        </w:rPr>
        <w:t xml:space="preserve">        单位。</w:t>
      </w:r>
    </w:p>
    <w:p>
      <w:pPr>
        <w:pStyle w:val="7"/>
        <w:snapToGrid w:val="0"/>
        <w:rPr>
          <w:rFonts w:hAnsi="宋体"/>
          <w:sz w:val="21"/>
          <w:szCs w:val="21"/>
        </w:rPr>
      </w:pPr>
      <w:bookmarkStart w:id="696" w:name="_Toc10901"/>
      <w:r>
        <w:rPr>
          <w:rFonts w:hAnsi="宋体"/>
          <w:sz w:val="21"/>
          <w:szCs w:val="21"/>
        </w:rPr>
        <w:t>25      适用法律</w:t>
      </w:r>
      <w:bookmarkEnd w:id="696"/>
    </w:p>
    <w:p>
      <w:pPr>
        <w:snapToGrid w:val="0"/>
        <w:spacing w:before="119"/>
        <w:rPr>
          <w:rFonts w:ascii="宋体" w:hAnsi="宋体"/>
          <w:szCs w:val="21"/>
        </w:rPr>
      </w:pPr>
      <w:r>
        <w:rPr>
          <w:rFonts w:ascii="宋体" w:hAnsi="宋体"/>
          <w:szCs w:val="21"/>
        </w:rPr>
        <w:t>25.1    本合同应按照中华人民共和国的法律进行解释。</w:t>
      </w:r>
    </w:p>
    <w:p>
      <w:pPr>
        <w:pStyle w:val="7"/>
        <w:snapToGrid w:val="0"/>
        <w:rPr>
          <w:rFonts w:hAnsi="宋体"/>
          <w:sz w:val="21"/>
          <w:szCs w:val="21"/>
        </w:rPr>
      </w:pPr>
      <w:bookmarkStart w:id="697" w:name="_Toc17136"/>
      <w:r>
        <w:rPr>
          <w:rFonts w:hAnsi="宋体"/>
          <w:sz w:val="21"/>
          <w:szCs w:val="21"/>
        </w:rPr>
        <w:t>26      履约保证金</w:t>
      </w:r>
      <w:bookmarkEnd w:id="697"/>
    </w:p>
    <w:p>
      <w:pPr>
        <w:snapToGrid w:val="0"/>
        <w:spacing w:line="331" w:lineRule="auto"/>
        <w:ind w:left="901" w:hanging="895"/>
        <w:rPr>
          <w:rFonts w:ascii="宋体" w:hAnsi="宋体"/>
          <w:szCs w:val="21"/>
        </w:rPr>
      </w:pPr>
      <w:r>
        <w:rPr>
          <w:rFonts w:ascii="宋体" w:hAnsi="宋体"/>
          <w:szCs w:val="21"/>
        </w:rPr>
        <w:t>26.1    卖方应按</w:t>
      </w:r>
      <w:r>
        <w:rPr>
          <w:rFonts w:hint="eastAsia" w:ascii="宋体" w:hAnsi="宋体"/>
          <w:szCs w:val="21"/>
        </w:rPr>
        <w:t>合同</w:t>
      </w:r>
      <w:r>
        <w:rPr>
          <w:rFonts w:ascii="宋体" w:hAnsi="宋体"/>
          <w:szCs w:val="21"/>
        </w:rPr>
        <w:t>约定的方式向买方提交合同总价</w:t>
      </w:r>
      <w:r>
        <w:rPr>
          <w:rFonts w:ascii="宋体" w:hAnsi="宋体"/>
          <w:szCs w:val="21"/>
          <w:u w:val="single" w:color="FF0000"/>
        </w:rPr>
        <w:t xml:space="preserve"> </w:t>
      </w:r>
      <w:r>
        <w:rPr>
          <w:rFonts w:hint="eastAsia" w:ascii="宋体" w:hAnsi="宋体"/>
          <w:szCs w:val="21"/>
          <w:u w:val="single" w:color="FF0000"/>
        </w:rPr>
        <w:t>5%</w:t>
      </w:r>
      <w:r>
        <w:rPr>
          <w:rFonts w:ascii="宋体" w:hAnsi="宋体"/>
          <w:szCs w:val="21"/>
          <w:u w:val="single" w:color="FF0000"/>
        </w:rPr>
        <w:t xml:space="preserve"> </w:t>
      </w:r>
      <w:r>
        <w:rPr>
          <w:rFonts w:ascii="宋体" w:hAnsi="宋体"/>
          <w:szCs w:val="21"/>
        </w:rPr>
        <w:t>（不超过5％）的履约保证金。</w:t>
      </w:r>
    </w:p>
    <w:p>
      <w:pPr>
        <w:snapToGrid w:val="0"/>
        <w:spacing w:line="331" w:lineRule="auto"/>
        <w:rPr>
          <w:rFonts w:ascii="宋体" w:hAnsi="宋体"/>
          <w:szCs w:val="21"/>
        </w:rPr>
      </w:pPr>
      <w:r>
        <w:rPr>
          <w:rFonts w:ascii="宋体" w:hAnsi="宋体"/>
          <w:szCs w:val="21"/>
        </w:rPr>
        <w:t>26.2</w:t>
      </w:r>
      <w:r>
        <w:rPr>
          <w:rFonts w:ascii="宋体" w:hAnsi="宋体"/>
          <w:b/>
          <w:szCs w:val="21"/>
        </w:rPr>
        <w:t xml:space="preserve">    </w:t>
      </w:r>
      <w:r>
        <w:rPr>
          <w:rFonts w:ascii="宋体" w:hAnsi="宋体"/>
          <w:szCs w:val="21"/>
        </w:rPr>
        <w:t>履约保证金用于补偿买方因卖方不能履行其合同义务而蒙受的损失。</w:t>
      </w:r>
    </w:p>
    <w:p>
      <w:pPr>
        <w:snapToGrid w:val="0"/>
        <w:spacing w:line="331" w:lineRule="auto"/>
        <w:rPr>
          <w:rFonts w:ascii="宋体" w:hAnsi="宋体"/>
          <w:szCs w:val="21"/>
        </w:rPr>
      </w:pPr>
      <w:r>
        <w:rPr>
          <w:rFonts w:ascii="宋体" w:hAnsi="宋体"/>
          <w:szCs w:val="21"/>
        </w:rPr>
        <w:t>26.3    履约保证金应使用本合同货币，按下述方式之一提交：</w:t>
      </w:r>
    </w:p>
    <w:p>
      <w:pPr>
        <w:snapToGrid w:val="0"/>
        <w:spacing w:line="331" w:lineRule="auto"/>
        <w:ind w:left="958"/>
        <w:rPr>
          <w:rFonts w:ascii="宋体" w:hAnsi="宋体"/>
          <w:szCs w:val="21"/>
        </w:rPr>
      </w:pPr>
      <w:r>
        <w:rPr>
          <w:rFonts w:ascii="宋体" w:hAnsi="宋体"/>
          <w:szCs w:val="21"/>
        </w:rPr>
        <w:t xml:space="preserve">  A. 买方可接受的在中华人民共和国注册和营业的银行，按招标文件提供的格式（附件8），或其他买方可接受的格式。</w:t>
      </w:r>
    </w:p>
    <w:p>
      <w:pPr>
        <w:snapToGrid w:val="0"/>
        <w:spacing w:line="331" w:lineRule="auto"/>
        <w:ind w:firstLine="958"/>
        <w:rPr>
          <w:rFonts w:ascii="宋体" w:hAnsi="宋体"/>
          <w:szCs w:val="21"/>
        </w:rPr>
      </w:pPr>
      <w:r>
        <w:rPr>
          <w:rFonts w:ascii="宋体" w:hAnsi="宋体"/>
          <w:szCs w:val="21"/>
        </w:rPr>
        <w:t xml:space="preserve">  B. 支票、汇票或现金。</w:t>
      </w:r>
    </w:p>
    <w:p>
      <w:pPr>
        <w:snapToGrid w:val="0"/>
        <w:spacing w:line="331" w:lineRule="auto"/>
        <w:ind w:left="986" w:hanging="952"/>
        <w:rPr>
          <w:rFonts w:ascii="宋体" w:hAnsi="宋体"/>
          <w:szCs w:val="21"/>
        </w:rPr>
      </w:pPr>
      <w:r>
        <w:rPr>
          <w:rFonts w:ascii="宋体" w:hAnsi="宋体"/>
          <w:szCs w:val="21"/>
        </w:rPr>
        <w:t>26.4    如果卖方未能按合同规定履行其义务，买方有权从履约保证金中取得补偿。质量保证期结束后三十(30)天内，买方将把履约保证金</w:t>
      </w:r>
      <w:r>
        <w:rPr>
          <w:rFonts w:hint="eastAsia" w:ascii="宋体" w:hAnsi="宋体"/>
          <w:szCs w:val="21"/>
        </w:rPr>
        <w:t>无息</w:t>
      </w:r>
      <w:r>
        <w:rPr>
          <w:rFonts w:ascii="宋体" w:hAnsi="宋体"/>
          <w:szCs w:val="21"/>
        </w:rPr>
        <w:t>退还卖方。</w:t>
      </w:r>
    </w:p>
    <w:p>
      <w:pPr>
        <w:pStyle w:val="7"/>
        <w:snapToGrid w:val="0"/>
        <w:spacing w:line="331" w:lineRule="auto"/>
        <w:rPr>
          <w:rFonts w:hAnsi="宋体"/>
          <w:sz w:val="21"/>
          <w:szCs w:val="21"/>
        </w:rPr>
      </w:pPr>
      <w:bookmarkStart w:id="698" w:name="_Toc4508"/>
      <w:r>
        <w:rPr>
          <w:rFonts w:hAnsi="宋体"/>
          <w:sz w:val="21"/>
          <w:szCs w:val="21"/>
        </w:rPr>
        <w:t>27　    合同生效和其它</w:t>
      </w:r>
      <w:bookmarkEnd w:id="698"/>
    </w:p>
    <w:p>
      <w:pPr>
        <w:snapToGrid w:val="0"/>
        <w:spacing w:line="331" w:lineRule="auto"/>
        <w:ind w:left="986" w:hanging="952"/>
        <w:rPr>
          <w:rFonts w:ascii="宋体" w:hAnsi="宋体"/>
          <w:szCs w:val="21"/>
        </w:rPr>
      </w:pPr>
      <w:r>
        <w:rPr>
          <w:rFonts w:ascii="宋体" w:hAnsi="宋体"/>
          <w:szCs w:val="21"/>
        </w:rPr>
        <w:t>27.1    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并由卖方</w:t>
      </w:r>
      <w:r>
        <w:rPr>
          <w:rFonts w:hint="eastAsia" w:ascii="宋体" w:hAnsi="宋体"/>
          <w:szCs w:val="21"/>
        </w:rPr>
        <w:t>提交</w:t>
      </w:r>
      <w:r>
        <w:rPr>
          <w:rFonts w:ascii="宋体" w:hAnsi="宋体"/>
          <w:szCs w:val="21"/>
        </w:rPr>
        <w:t>履约保证金后开始生效。</w:t>
      </w:r>
    </w:p>
    <w:p>
      <w:pPr>
        <w:snapToGrid w:val="0"/>
        <w:spacing w:line="331" w:lineRule="auto"/>
        <w:ind w:left="963" w:hanging="952"/>
        <w:rPr>
          <w:rFonts w:ascii="宋体"/>
          <w:b/>
          <w:spacing w:val="175"/>
          <w:sz w:val="28"/>
          <w:szCs w:val="28"/>
        </w:rPr>
      </w:pPr>
      <w:r>
        <w:rPr>
          <w:rFonts w:ascii="宋体" w:hAnsi="宋体"/>
          <w:szCs w:val="21"/>
        </w:rPr>
        <w:t>27.2    本合同一式</w:t>
      </w:r>
      <w:r>
        <w:rPr>
          <w:rFonts w:ascii="宋体" w:hAnsi="宋体"/>
          <w:szCs w:val="21"/>
          <w:u w:val="single"/>
        </w:rPr>
        <w:t>　</w:t>
      </w:r>
      <w:r>
        <w:rPr>
          <w:rFonts w:hint="eastAsia" w:ascii="宋体" w:hAnsi="宋体"/>
          <w:szCs w:val="21"/>
          <w:u w:val="single"/>
        </w:rPr>
        <w:t>九</w:t>
      </w:r>
      <w:r>
        <w:rPr>
          <w:rFonts w:ascii="宋体" w:hAnsi="宋体"/>
          <w:szCs w:val="21"/>
          <w:u w:val="single"/>
        </w:rPr>
        <w:t>　</w:t>
      </w:r>
      <w:r>
        <w:rPr>
          <w:rFonts w:ascii="宋体" w:hAnsi="宋体"/>
          <w:szCs w:val="21"/>
        </w:rPr>
        <w:t>份，具同等法律效力。</w:t>
      </w:r>
      <w:r>
        <w:rPr>
          <w:rFonts w:ascii="宋体" w:hAnsi="宋体"/>
          <w:szCs w:val="21"/>
          <w:u w:val="single"/>
        </w:rPr>
        <w:t>　</w:t>
      </w:r>
      <w:r>
        <w:rPr>
          <w:rFonts w:hint="eastAsia" w:ascii="宋体" w:hAnsi="宋体"/>
          <w:szCs w:val="21"/>
          <w:u w:val="single"/>
        </w:rPr>
        <w:t>买方</w:t>
      </w:r>
      <w:r>
        <w:rPr>
          <w:rFonts w:ascii="宋体" w:hAnsi="宋体"/>
          <w:szCs w:val="21"/>
          <w:u w:val="single"/>
        </w:rPr>
        <w:t>　</w:t>
      </w:r>
      <w:r>
        <w:rPr>
          <w:rFonts w:hint="eastAsia" w:ascii="宋体" w:hAnsi="宋体"/>
          <w:szCs w:val="21"/>
        </w:rPr>
        <w:t>执</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七  </w:t>
      </w:r>
      <w:r>
        <w:rPr>
          <w:rFonts w:hint="eastAsia" w:ascii="宋体" w:hAnsi="宋体"/>
          <w:szCs w:val="21"/>
        </w:rPr>
        <w:t>份，</w:t>
      </w:r>
      <w:r>
        <w:rPr>
          <w:rFonts w:hint="eastAsia" w:ascii="宋体" w:hAnsi="宋体"/>
          <w:szCs w:val="21"/>
          <w:u w:val="single"/>
        </w:rPr>
        <w:t xml:space="preserve"> 卖方 </w:t>
      </w:r>
      <w:r>
        <w:rPr>
          <w:rFonts w:hint="eastAsia" w:ascii="宋体" w:hAnsi="宋体"/>
          <w:szCs w:val="21"/>
        </w:rPr>
        <w:t>执</w:t>
      </w:r>
      <w:r>
        <w:rPr>
          <w:rFonts w:hint="eastAsia" w:ascii="宋体" w:hAnsi="宋体"/>
          <w:szCs w:val="21"/>
          <w:u w:val="single"/>
        </w:rPr>
        <w:t xml:space="preserve"> 一 </w:t>
      </w:r>
      <w:r>
        <w:rPr>
          <w:rFonts w:hint="eastAsia" w:ascii="宋体" w:hAnsi="宋体"/>
          <w:szCs w:val="21"/>
        </w:rPr>
        <w:t xml:space="preserve">份 </w:t>
      </w:r>
      <w:r>
        <w:rPr>
          <w:rFonts w:ascii="宋体" w:hAnsi="宋体"/>
          <w:szCs w:val="21"/>
        </w:rPr>
        <w:t>。</w:t>
      </w:r>
      <w:r>
        <w:rPr>
          <w:rFonts w:hint="eastAsia" w:ascii="宋体" w:hAnsi="宋体"/>
          <w:szCs w:val="21"/>
        </w:rPr>
        <w:t>北京市政府采购办公室备案一份（电子版），招标代理机构存档一份。</w:t>
      </w:r>
    </w:p>
    <w:p>
      <w:pPr>
        <w:snapToGrid w:val="0"/>
        <w:spacing w:line="223" w:lineRule="auto"/>
        <w:jc w:val="center"/>
        <w:rPr>
          <w:rFonts w:ascii="宋体"/>
          <w:b/>
          <w:spacing w:val="175"/>
          <w:sz w:val="28"/>
          <w:szCs w:val="28"/>
        </w:rPr>
      </w:pPr>
    </w:p>
    <w:p>
      <w:pPr>
        <w:snapToGrid w:val="0"/>
        <w:spacing w:line="223" w:lineRule="auto"/>
        <w:jc w:val="center"/>
        <w:rPr>
          <w:rFonts w:ascii="宋体"/>
          <w:b/>
          <w:spacing w:val="175"/>
          <w:sz w:val="28"/>
          <w:szCs w:val="28"/>
        </w:rPr>
      </w:pPr>
    </w:p>
    <w:p>
      <w:pPr>
        <w:snapToGrid w:val="0"/>
        <w:spacing w:line="223" w:lineRule="auto"/>
        <w:jc w:val="center"/>
        <w:rPr>
          <w:rFonts w:ascii="宋体"/>
          <w:b/>
          <w:spacing w:val="175"/>
          <w:sz w:val="28"/>
          <w:szCs w:val="28"/>
        </w:rPr>
      </w:pPr>
    </w:p>
    <w:p>
      <w:pPr>
        <w:snapToGrid w:val="0"/>
        <w:spacing w:line="223" w:lineRule="auto"/>
        <w:jc w:val="center"/>
        <w:rPr>
          <w:rFonts w:ascii="宋体"/>
          <w:b/>
          <w:spacing w:val="175"/>
          <w:sz w:val="28"/>
          <w:szCs w:val="28"/>
        </w:rPr>
      </w:pPr>
    </w:p>
    <w:p>
      <w:pPr>
        <w:snapToGrid w:val="0"/>
        <w:spacing w:line="223" w:lineRule="auto"/>
        <w:jc w:val="center"/>
        <w:rPr>
          <w:sz w:val="28"/>
          <w:szCs w:val="28"/>
        </w:rPr>
      </w:pPr>
      <w:r>
        <w:rPr>
          <w:rFonts w:ascii="宋体"/>
          <w:b/>
          <w:spacing w:val="175"/>
          <w:sz w:val="28"/>
          <w:szCs w:val="28"/>
        </w:rPr>
        <w:t>合同特殊条款</w:t>
      </w:r>
    </w:p>
    <w:p>
      <w:pPr>
        <w:pStyle w:val="301"/>
        <w:tabs>
          <w:tab w:val="left" w:pos="5578"/>
        </w:tabs>
        <w:snapToGrid w:val="0"/>
        <w:spacing w:line="345" w:lineRule="auto"/>
        <w:ind w:firstLine="408"/>
        <w:rPr>
          <w:color w:val="auto"/>
        </w:rPr>
      </w:pPr>
    </w:p>
    <w:p>
      <w:pPr>
        <w:pStyle w:val="301"/>
        <w:tabs>
          <w:tab w:val="left" w:pos="5578"/>
        </w:tabs>
        <w:snapToGrid w:val="0"/>
        <w:spacing w:line="316" w:lineRule="auto"/>
        <w:ind w:firstLine="408"/>
        <w:rPr>
          <w:rFonts w:hAnsi="宋体"/>
          <w:color w:val="auto"/>
          <w:szCs w:val="21"/>
        </w:rPr>
      </w:pPr>
      <w:r>
        <w:rPr>
          <w:rFonts w:hAnsi="宋体"/>
          <w:color w:val="auto"/>
          <w:szCs w:val="21"/>
        </w:rPr>
        <w:t xml:space="preserve">  合同特殊条款是合同一般条款的补充和修改。如果两者之间有抵触，应以特殊条款为准。合同特殊条款的序号将与合同一般条款序号相对应。</w:t>
      </w:r>
    </w:p>
    <w:p>
      <w:pPr>
        <w:numPr>
          <w:ilvl w:val="0"/>
          <w:numId w:val="12"/>
        </w:numPr>
        <w:snapToGrid w:val="0"/>
        <w:spacing w:before="119" w:line="331" w:lineRule="auto"/>
        <w:rPr>
          <w:rFonts w:ascii="宋体" w:hAnsi="宋体"/>
          <w:szCs w:val="21"/>
        </w:rPr>
      </w:pPr>
      <w:r>
        <w:rPr>
          <w:rFonts w:ascii="宋体" w:hAnsi="宋体"/>
          <w:b/>
          <w:szCs w:val="21"/>
        </w:rPr>
        <w:t>定义</w:t>
      </w:r>
    </w:p>
    <w:p>
      <w:pPr>
        <w:snapToGrid w:val="0"/>
        <w:spacing w:before="119" w:line="331" w:lineRule="auto"/>
        <w:rPr>
          <w:rFonts w:ascii="宋体" w:hAnsi="宋体"/>
          <w:szCs w:val="21"/>
        </w:rPr>
      </w:pPr>
      <w:r>
        <w:rPr>
          <w:rFonts w:ascii="宋体" w:hAnsi="宋体"/>
          <w:szCs w:val="21"/>
        </w:rPr>
        <w:t>1.5   买方：本合同买方系指：</w:t>
      </w:r>
      <w:r>
        <w:rPr>
          <w:rFonts w:ascii="宋体" w:hAnsi="宋体"/>
          <w:szCs w:val="21"/>
          <w:u w:val="single"/>
        </w:rPr>
        <w:t>　</w:t>
      </w:r>
      <w:r>
        <w:rPr>
          <w:rFonts w:hint="eastAsia" w:ascii="宋体" w:hAnsi="宋体"/>
          <w:szCs w:val="21"/>
          <w:u w:val="single"/>
        </w:rPr>
        <w:t xml:space="preserve">首都师范大学    </w:t>
      </w:r>
      <w:r>
        <w:rPr>
          <w:rFonts w:ascii="宋体" w:hAnsi="宋体"/>
          <w:szCs w:val="21"/>
          <w:u w:val="single"/>
        </w:rPr>
        <w:t xml:space="preserve">   </w:t>
      </w:r>
      <w:r>
        <w:rPr>
          <w:rFonts w:ascii="宋体" w:hAnsi="宋体"/>
          <w:szCs w:val="21"/>
        </w:rPr>
        <w:t>。</w:t>
      </w:r>
    </w:p>
    <w:p>
      <w:pPr>
        <w:snapToGrid w:val="0"/>
        <w:spacing w:before="119" w:line="331" w:lineRule="auto"/>
        <w:rPr>
          <w:rFonts w:ascii="宋体" w:hAnsi="宋体"/>
          <w:szCs w:val="21"/>
        </w:rPr>
      </w:pPr>
      <w:r>
        <w:rPr>
          <w:rFonts w:ascii="宋体" w:hAnsi="宋体"/>
          <w:szCs w:val="21"/>
        </w:rPr>
        <w:t>1.6   卖方：本合同卖方系指：</w:t>
      </w:r>
      <w:r>
        <w:rPr>
          <w:rFonts w:ascii="宋体" w:hAnsi="宋体"/>
          <w:szCs w:val="21"/>
          <w:u w:val="single"/>
        </w:rPr>
        <w:t>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napToGrid w:val="0"/>
        <w:spacing w:before="119" w:line="331" w:lineRule="auto"/>
        <w:rPr>
          <w:rFonts w:ascii="宋体" w:hAnsi="宋体"/>
          <w:szCs w:val="21"/>
        </w:rPr>
      </w:pPr>
      <w:r>
        <w:rPr>
          <w:rFonts w:ascii="宋体" w:hAnsi="宋体"/>
          <w:szCs w:val="21"/>
        </w:rPr>
        <w:t>1.7   现场：本合同项下的货物</w:t>
      </w:r>
      <w:r>
        <w:rPr>
          <w:rFonts w:hint="eastAsia" w:ascii="宋体" w:hAnsi="宋体"/>
          <w:szCs w:val="21"/>
        </w:rPr>
        <w:t>运至、</w:t>
      </w:r>
      <w:r>
        <w:rPr>
          <w:rFonts w:ascii="宋体" w:hAnsi="宋体"/>
          <w:szCs w:val="21"/>
        </w:rPr>
        <w:t>安装和运行地点位</w:t>
      </w:r>
      <w:r>
        <w:rPr>
          <w:rFonts w:hint="eastAsia" w:ascii="宋体" w:hAnsi="宋体"/>
          <w:szCs w:val="21"/>
        </w:rPr>
        <w:t>于：</w:t>
      </w:r>
      <w:r>
        <w:rPr>
          <w:rFonts w:ascii="宋体" w:hAnsi="宋体"/>
          <w:szCs w:val="21"/>
          <w:u w:val="single"/>
        </w:rPr>
        <w:t xml:space="preserve"> </w:t>
      </w:r>
      <w:r>
        <w:rPr>
          <w:rFonts w:hint="eastAsia" w:ascii="宋体" w:hAnsi="宋体"/>
          <w:szCs w:val="21"/>
          <w:u w:val="single"/>
        </w:rPr>
        <w:t xml:space="preserve"> 首都师范大学 </w:t>
      </w:r>
      <w:r>
        <w:rPr>
          <w:rFonts w:ascii="宋体" w:hAnsi="宋体"/>
          <w:szCs w:val="21"/>
          <w:u w:val="single"/>
        </w:rPr>
        <w:t xml:space="preserve">  </w:t>
      </w:r>
      <w:r>
        <w:rPr>
          <w:rFonts w:ascii="宋体" w:hAnsi="宋体"/>
          <w:szCs w:val="21"/>
        </w:rPr>
        <w:t>。</w:t>
      </w:r>
    </w:p>
    <w:p>
      <w:pPr>
        <w:snapToGrid w:val="0"/>
        <w:spacing w:before="119" w:line="331" w:lineRule="auto"/>
        <w:rPr>
          <w:rFonts w:ascii="宋体" w:hAnsi="宋体"/>
          <w:sz w:val="10"/>
          <w:szCs w:val="10"/>
        </w:rPr>
      </w:pPr>
    </w:p>
    <w:p>
      <w:pPr>
        <w:snapToGrid w:val="0"/>
        <w:spacing w:before="119" w:line="331" w:lineRule="auto"/>
        <w:rPr>
          <w:rFonts w:ascii="宋体" w:hAnsi="宋体"/>
          <w:szCs w:val="21"/>
        </w:rPr>
      </w:pPr>
      <w:r>
        <w:rPr>
          <w:rFonts w:ascii="宋体" w:hAnsi="宋体"/>
          <w:b/>
          <w:szCs w:val="21"/>
        </w:rPr>
        <w:t>2、交货方式</w:t>
      </w:r>
    </w:p>
    <w:p>
      <w:pPr>
        <w:snapToGrid w:val="0"/>
        <w:spacing w:before="119" w:line="331" w:lineRule="auto"/>
        <w:rPr>
          <w:rFonts w:ascii="宋体" w:hAnsi="宋体"/>
          <w:szCs w:val="21"/>
        </w:rPr>
      </w:pPr>
      <w:r>
        <w:rPr>
          <w:rFonts w:ascii="宋体" w:hAnsi="宋体"/>
          <w:szCs w:val="21"/>
        </w:rPr>
        <w:t>2.1  本合同项下的货物交货方式为：</w:t>
      </w:r>
      <w:r>
        <w:rPr>
          <w:rFonts w:ascii="宋体" w:hAnsi="宋体"/>
          <w:szCs w:val="21"/>
          <w:u w:val="single"/>
        </w:rPr>
        <w:t>　</w:t>
      </w:r>
      <w:r>
        <w:rPr>
          <w:rFonts w:hint="eastAsia" w:ascii="宋体" w:hAnsi="宋体"/>
          <w:szCs w:val="21"/>
          <w:u w:val="single"/>
        </w:rPr>
        <w:t>现场交货</w:t>
      </w:r>
      <w:r>
        <w:rPr>
          <w:rFonts w:ascii="宋体" w:hAnsi="宋体"/>
          <w:szCs w:val="21"/>
          <w:u w:val="single"/>
        </w:rPr>
        <w:t xml:space="preserve">　   </w:t>
      </w:r>
      <w:r>
        <w:rPr>
          <w:rFonts w:ascii="宋体" w:hAnsi="宋体"/>
          <w:szCs w:val="21"/>
        </w:rPr>
        <w:t>。</w:t>
      </w:r>
    </w:p>
    <w:p>
      <w:pPr>
        <w:snapToGrid w:val="0"/>
        <w:spacing w:before="119" w:line="331" w:lineRule="auto"/>
        <w:rPr>
          <w:rFonts w:ascii="宋体" w:hAnsi="宋体"/>
          <w:sz w:val="10"/>
          <w:szCs w:val="10"/>
        </w:rPr>
      </w:pPr>
    </w:p>
    <w:p>
      <w:pPr>
        <w:tabs>
          <w:tab w:val="left" w:pos="3960"/>
          <w:tab w:val="left" w:pos="4500"/>
        </w:tabs>
        <w:spacing w:line="360" w:lineRule="auto"/>
        <w:ind w:left="527" w:hanging="527" w:hangingChars="250"/>
        <w:rPr>
          <w:rFonts w:ascii="宋体" w:hAnsi="宋体"/>
          <w:b/>
          <w:szCs w:val="21"/>
        </w:rPr>
      </w:pPr>
      <w:r>
        <w:rPr>
          <w:rFonts w:ascii="宋体" w:hAnsi="宋体"/>
          <w:b/>
          <w:szCs w:val="21"/>
        </w:rPr>
        <w:t>3、付款条件：</w:t>
      </w:r>
    </w:p>
    <w:p>
      <w:pPr>
        <w:spacing w:before="120" w:line="360" w:lineRule="auto"/>
        <w:ind w:firstLine="105" w:firstLineChars="5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）卖方在合同签订后七天内向买方提交合同总价</w:t>
      </w:r>
      <w:r>
        <w:rPr>
          <w:rFonts w:ascii="宋体" w:hAnsi="宋体"/>
          <w:szCs w:val="21"/>
        </w:rPr>
        <w:t>5%</w:t>
      </w:r>
      <w:r>
        <w:rPr>
          <w:rFonts w:hint="eastAsia" w:ascii="宋体" w:hAnsi="宋体"/>
          <w:szCs w:val="21"/>
        </w:rPr>
        <w:t>的履约保证金。</w:t>
      </w:r>
    </w:p>
    <w:p>
      <w:pPr>
        <w:spacing w:before="120" w:line="360" w:lineRule="auto"/>
        <w:ind w:firstLine="105" w:firstLineChars="5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）合同签订后，买方按实际需求采购，卖方按买方要求将货物</w:t>
      </w:r>
      <w:r>
        <w:rPr>
          <w:rFonts w:hint="eastAsia" w:ascii="宋体" w:hAnsi="宋体"/>
          <w:szCs w:val="21"/>
          <w:lang w:val="en-US" w:eastAsia="zh-CN"/>
        </w:rPr>
        <w:t>/检修后设备</w:t>
      </w:r>
      <w:r>
        <w:rPr>
          <w:rFonts w:hint="eastAsia" w:ascii="宋体" w:hAnsi="宋体"/>
          <w:szCs w:val="21"/>
        </w:rPr>
        <w:t>送达指定地点。</w:t>
      </w:r>
      <w:r>
        <w:rPr>
          <w:rFonts w:ascii="宋体" w:hAnsi="宋体"/>
          <w:szCs w:val="21"/>
        </w:rPr>
        <w:t xml:space="preserve"> </w:t>
      </w:r>
    </w:p>
    <w:p>
      <w:pPr>
        <w:spacing w:before="120" w:line="360" w:lineRule="auto"/>
        <w:ind w:firstLine="105" w:firstLineChars="50"/>
        <w:rPr>
          <w:rFonts w:ascii="宋体" w:hAnsi="宋体"/>
          <w:color w:val="auto"/>
          <w:szCs w:val="21"/>
        </w:rPr>
      </w:pPr>
      <w:r>
        <w:rPr>
          <w:rFonts w:hint="eastAsia" w:ascii="宋体" w:hAnsi="宋体"/>
          <w:szCs w:val="21"/>
        </w:rPr>
        <w:t>（</w:t>
      </w:r>
      <w:r>
        <w:rPr>
          <w:rFonts w:ascii="宋体" w:hAnsi="宋体"/>
          <w:szCs w:val="21"/>
        </w:rPr>
        <w:t>3</w:t>
      </w:r>
      <w:r>
        <w:rPr>
          <w:rFonts w:hint="eastAsia" w:ascii="宋体" w:hAnsi="宋体"/>
          <w:szCs w:val="21"/>
        </w:rPr>
        <w:t>）结算按每批实际采购量进行结算，</w:t>
      </w:r>
      <w:r>
        <w:rPr>
          <w:rFonts w:hint="eastAsia" w:ascii="宋体" w:hAnsi="宋体"/>
          <w:color w:val="auto"/>
          <w:szCs w:val="21"/>
        </w:rPr>
        <w:t>（结算价按折扣率</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%折扣后的单价进行结算）。</w:t>
      </w:r>
      <w:r>
        <w:rPr>
          <w:rFonts w:ascii="宋体" w:hAnsi="宋体"/>
          <w:color w:val="auto"/>
          <w:szCs w:val="21"/>
        </w:rPr>
        <w:t xml:space="preserve"> </w:t>
      </w:r>
    </w:p>
    <w:p>
      <w:pPr>
        <w:spacing w:before="120" w:line="360" w:lineRule="auto"/>
        <w:ind w:firstLine="105" w:firstLineChars="50"/>
        <w:rPr>
          <w:rFonts w:ascii="宋体" w:hAnsi="宋体"/>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）货物验收合格后一年无质量及服务问题，买方向卖方无息退还履约</w:t>
      </w:r>
      <w:r>
        <w:rPr>
          <w:rFonts w:hint="eastAsia" w:ascii="宋体" w:hAnsi="宋体"/>
          <w:szCs w:val="21"/>
        </w:rPr>
        <w:t>保证金。</w:t>
      </w:r>
    </w:p>
    <w:p>
      <w:pPr>
        <w:snapToGrid w:val="0"/>
        <w:spacing w:before="119" w:line="331" w:lineRule="auto"/>
        <w:rPr>
          <w:rFonts w:ascii="宋体" w:hAnsi="宋体"/>
          <w:sz w:val="10"/>
          <w:szCs w:val="10"/>
        </w:rPr>
      </w:pPr>
    </w:p>
    <w:p>
      <w:pPr>
        <w:snapToGrid w:val="0"/>
        <w:spacing w:before="119" w:line="331" w:lineRule="auto"/>
        <w:rPr>
          <w:rFonts w:ascii="宋体" w:hAnsi="宋体"/>
          <w:szCs w:val="21"/>
        </w:rPr>
      </w:pPr>
      <w:r>
        <w:rPr>
          <w:rFonts w:ascii="宋体" w:hAnsi="宋体"/>
          <w:b/>
          <w:szCs w:val="21"/>
        </w:rPr>
        <w:t>4、技术资料：</w:t>
      </w:r>
      <w:r>
        <w:rPr>
          <w:rFonts w:ascii="宋体" w:hAnsi="宋体"/>
          <w:szCs w:val="21"/>
          <w:u w:val="single"/>
        </w:rPr>
        <w:t>　</w:t>
      </w:r>
      <w:r>
        <w:rPr>
          <w:rFonts w:hint="eastAsia" w:ascii="宋体" w:hAnsi="宋体"/>
          <w:szCs w:val="21"/>
          <w:u w:val="single"/>
        </w:rPr>
        <w:t>包括</w:t>
      </w:r>
      <w:r>
        <w:rPr>
          <w:rFonts w:ascii="宋体" w:hAnsi="宋体"/>
          <w:szCs w:val="21"/>
          <w:u w:val="single"/>
        </w:rPr>
        <w:t>每台设备和仪器的中文技术资料一套，如目录索引、图纸、操作手册、使用指南、维修指南和／或服务手册和示意图</w:t>
      </w:r>
      <w:r>
        <w:rPr>
          <w:rFonts w:hint="eastAsia" w:ascii="宋体" w:hAnsi="宋体"/>
          <w:szCs w:val="21"/>
          <w:u w:val="single"/>
        </w:rPr>
        <w:t>等</w:t>
      </w:r>
      <w:r>
        <w:rPr>
          <w:rFonts w:ascii="宋体" w:hAnsi="宋体"/>
          <w:szCs w:val="21"/>
          <w:u w:val="single"/>
        </w:rPr>
        <w:t xml:space="preserve">  </w:t>
      </w:r>
      <w:r>
        <w:rPr>
          <w:rFonts w:ascii="宋体" w:hAnsi="宋体"/>
          <w:szCs w:val="21"/>
        </w:rPr>
        <w:t>。</w:t>
      </w:r>
    </w:p>
    <w:p>
      <w:pPr>
        <w:snapToGrid w:val="0"/>
        <w:spacing w:before="119" w:line="331" w:lineRule="auto"/>
        <w:rPr>
          <w:rFonts w:ascii="宋体" w:hAnsi="宋体"/>
          <w:szCs w:val="21"/>
        </w:rPr>
      </w:pPr>
      <w:r>
        <w:rPr>
          <w:rFonts w:ascii="宋体" w:hAnsi="宋体"/>
          <w:b/>
          <w:szCs w:val="21"/>
        </w:rPr>
        <w:t>5、质量保证</w:t>
      </w:r>
      <w:r>
        <w:rPr>
          <w:rFonts w:hint="eastAsia" w:ascii="宋体" w:hAnsi="宋体"/>
          <w:b/>
          <w:szCs w:val="21"/>
        </w:rPr>
        <w:t>（详见附件二、售后服务承诺）</w:t>
      </w:r>
      <w:r>
        <w:rPr>
          <w:rFonts w:ascii="宋体" w:hAnsi="宋体"/>
          <w:b/>
          <w:szCs w:val="21"/>
        </w:rPr>
        <w:t>：</w:t>
      </w:r>
    </w:p>
    <w:p>
      <w:pPr>
        <w:snapToGrid w:val="0"/>
        <w:spacing w:before="119" w:line="331" w:lineRule="auto"/>
        <w:rPr>
          <w:rFonts w:ascii="宋体" w:hAnsi="宋体"/>
          <w:szCs w:val="21"/>
        </w:rPr>
      </w:pPr>
      <w:r>
        <w:rPr>
          <w:rFonts w:ascii="宋体" w:hAnsi="宋体"/>
          <w:szCs w:val="21"/>
        </w:rPr>
        <w:t>5.1    卖方在收到通知后</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3</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天内应免费维修或更换有缺陷的货物或部件。</w:t>
      </w:r>
    </w:p>
    <w:p>
      <w:pPr>
        <w:snapToGrid w:val="0"/>
        <w:spacing w:before="119" w:line="331" w:lineRule="auto"/>
        <w:ind w:left="958" w:hanging="952"/>
        <w:rPr>
          <w:rFonts w:ascii="宋体" w:hAnsi="宋体"/>
          <w:szCs w:val="21"/>
        </w:rPr>
      </w:pPr>
      <w:r>
        <w:rPr>
          <w:rFonts w:ascii="宋体" w:hAnsi="宋体"/>
          <w:szCs w:val="21"/>
        </w:rPr>
        <w:t>5.2    如果卖方在收到通知后</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3  </w:t>
      </w:r>
      <w:r>
        <w:rPr>
          <w:rFonts w:ascii="宋体" w:hAnsi="宋体"/>
          <w:szCs w:val="21"/>
        </w:rPr>
        <w:t>天内没有弥补缺陷，买方可采取必要的补救措施，但风险和费用将由卖方承担。</w:t>
      </w:r>
    </w:p>
    <w:p>
      <w:pPr>
        <w:numPr>
          <w:ilvl w:val="1"/>
          <w:numId w:val="13"/>
        </w:numPr>
        <w:snapToGrid w:val="0"/>
        <w:spacing w:before="119" w:line="331" w:lineRule="auto"/>
        <w:rPr>
          <w:rFonts w:ascii="宋体" w:hAnsi="宋体"/>
          <w:szCs w:val="21"/>
        </w:rPr>
      </w:pPr>
      <w:r>
        <w:rPr>
          <w:rFonts w:ascii="宋体" w:hAnsi="宋体"/>
          <w:szCs w:val="21"/>
        </w:rPr>
        <w:t xml:space="preserve">   合同项下货物的质量保证期为自货物通过最终验收起</w:t>
      </w:r>
      <w:r>
        <w:rPr>
          <w:rFonts w:ascii="宋体" w:hAnsi="宋体"/>
          <w:szCs w:val="21"/>
          <w:u w:val="single"/>
        </w:rPr>
        <w:t xml:space="preserve"> 12  </w:t>
      </w:r>
      <w:r>
        <w:rPr>
          <w:rFonts w:ascii="宋体" w:hAnsi="宋体"/>
          <w:szCs w:val="21"/>
        </w:rPr>
        <w:t>个月。</w:t>
      </w:r>
    </w:p>
    <w:p>
      <w:pPr>
        <w:tabs>
          <w:tab w:val="left" w:pos="846"/>
        </w:tabs>
        <w:snapToGrid w:val="0"/>
        <w:spacing w:before="119" w:line="331" w:lineRule="auto"/>
        <w:rPr>
          <w:rFonts w:ascii="宋体" w:hAnsi="宋体"/>
          <w:szCs w:val="21"/>
        </w:rPr>
      </w:pPr>
      <w:r>
        <w:rPr>
          <w:rFonts w:hint="eastAsia" w:ascii="宋体" w:hAnsi="宋体"/>
          <w:b/>
          <w:szCs w:val="21"/>
        </w:rPr>
        <w:t>6、</w:t>
      </w:r>
      <w:r>
        <w:rPr>
          <w:rFonts w:ascii="宋体" w:hAnsi="宋体"/>
          <w:b/>
          <w:szCs w:val="21"/>
        </w:rPr>
        <w:t>检验和验收：</w:t>
      </w:r>
    </w:p>
    <w:p>
      <w:pPr>
        <w:tabs>
          <w:tab w:val="left" w:pos="846"/>
        </w:tabs>
        <w:snapToGrid w:val="0"/>
        <w:spacing w:before="119" w:line="331" w:lineRule="auto"/>
        <w:rPr>
          <w:rFonts w:ascii="宋体" w:hAnsi="宋体"/>
          <w:szCs w:val="21"/>
        </w:rPr>
      </w:pPr>
      <w:r>
        <w:rPr>
          <w:rFonts w:hint="eastAsia" w:ascii="宋体" w:hAnsi="宋体"/>
          <w:b/>
          <w:szCs w:val="21"/>
        </w:rPr>
        <w:t>7、</w:t>
      </w:r>
      <w:r>
        <w:rPr>
          <w:rFonts w:ascii="宋体" w:hAnsi="宋体"/>
          <w:b/>
          <w:szCs w:val="21"/>
        </w:rPr>
        <w:t>索赔：</w:t>
      </w:r>
    </w:p>
    <w:p>
      <w:pPr>
        <w:snapToGrid w:val="0"/>
        <w:spacing w:before="119" w:line="331" w:lineRule="auto"/>
        <w:rPr>
          <w:rFonts w:ascii="宋体" w:hAnsi="宋体"/>
          <w:szCs w:val="21"/>
        </w:rPr>
      </w:pPr>
      <w:r>
        <w:rPr>
          <w:rFonts w:ascii="宋体" w:hAnsi="宋体"/>
          <w:szCs w:val="21"/>
        </w:rPr>
        <w:t>7.1 索赔通知期限：</w:t>
      </w:r>
      <w:r>
        <w:rPr>
          <w:rFonts w:ascii="宋体" w:hAnsi="宋体"/>
          <w:szCs w:val="21"/>
          <w:u w:val="single"/>
        </w:rPr>
        <w:t xml:space="preserve"> 15  </w:t>
      </w:r>
      <w:r>
        <w:rPr>
          <w:rFonts w:ascii="宋体" w:hAnsi="宋体"/>
          <w:szCs w:val="21"/>
        </w:rPr>
        <w:t>天。</w:t>
      </w:r>
    </w:p>
    <w:p>
      <w:pPr>
        <w:snapToGrid w:val="0"/>
        <w:spacing w:before="119" w:line="331" w:lineRule="auto"/>
        <w:rPr>
          <w:rFonts w:ascii="宋体" w:hAnsi="宋体"/>
          <w:sz w:val="10"/>
          <w:szCs w:val="10"/>
        </w:rPr>
      </w:pPr>
    </w:p>
    <w:p>
      <w:pPr>
        <w:snapToGrid w:val="0"/>
        <w:spacing w:before="119" w:line="331" w:lineRule="auto"/>
        <w:rPr>
          <w:rFonts w:ascii="宋体" w:hAnsi="宋体"/>
          <w:szCs w:val="21"/>
        </w:rPr>
      </w:pPr>
      <w:r>
        <w:rPr>
          <w:rFonts w:ascii="宋体" w:hAnsi="宋体"/>
          <w:b/>
          <w:szCs w:val="21"/>
        </w:rPr>
        <w:t>8、不可抗力：</w:t>
      </w:r>
    </w:p>
    <w:p>
      <w:pPr>
        <w:snapToGrid w:val="0"/>
        <w:spacing w:before="119" w:line="331" w:lineRule="auto"/>
        <w:rPr>
          <w:rFonts w:ascii="宋体" w:hAnsi="宋体"/>
          <w:szCs w:val="21"/>
        </w:rPr>
      </w:pPr>
      <w:r>
        <w:rPr>
          <w:rFonts w:ascii="宋体" w:hAnsi="宋体"/>
          <w:szCs w:val="21"/>
        </w:rPr>
        <w:t>8.1  不可抗力通知送达时间：事故发生后</w:t>
      </w:r>
      <w:r>
        <w:rPr>
          <w:rFonts w:ascii="宋体" w:hAnsi="宋体"/>
          <w:szCs w:val="21"/>
          <w:u w:val="single"/>
        </w:rPr>
        <w:t xml:space="preserve"> 15 </w:t>
      </w:r>
      <w:r>
        <w:rPr>
          <w:rFonts w:ascii="宋体" w:hAnsi="宋体"/>
          <w:szCs w:val="21"/>
        </w:rPr>
        <w:t>天内。</w:t>
      </w:r>
    </w:p>
    <w:p>
      <w:pPr>
        <w:widowControl/>
        <w:jc w:val="left"/>
        <w:rPr>
          <w:rFonts w:ascii="宋体" w:hAnsi="宋体"/>
          <w:b/>
          <w:sz w:val="36"/>
          <w:szCs w:val="36"/>
        </w:rPr>
      </w:pPr>
    </w:p>
    <w:p>
      <w:pPr>
        <w:spacing w:line="360" w:lineRule="auto"/>
        <w:ind w:left="1521" w:leftChars="267" w:hanging="960" w:hangingChars="400"/>
        <w:rPr>
          <w:rFonts w:ascii="宋体" w:hAnsi="宋体" w:cs="宋体"/>
          <w:color w:val="000000" w:themeColor="text1"/>
          <w:sz w:val="24"/>
          <w14:textFill>
            <w14:solidFill>
              <w14:schemeClr w14:val="tx1"/>
            </w14:solidFill>
          </w14:textFill>
        </w:rPr>
      </w:pPr>
    </w:p>
    <w:p>
      <w:pPr>
        <w:widowControl/>
        <w:jc w:val="left"/>
        <w:rPr>
          <w:rFonts w:ascii="仿宋" w:hAnsi="仿宋" w:eastAsia="仿宋" w:cs="Arial Unicode MS"/>
          <w:color w:val="000000"/>
          <w:kern w:val="0"/>
          <w:sz w:val="24"/>
          <w:lang w:val="zh-CN"/>
        </w:rPr>
      </w:pPr>
    </w:p>
    <w:p>
      <w:pPr>
        <w:widowControl/>
        <w:jc w:val="left"/>
        <w:rPr>
          <w:rFonts w:ascii="仿宋" w:hAnsi="仿宋" w:eastAsia="仿宋" w:cs="Arial Unicode MS"/>
          <w:color w:val="000000"/>
          <w:kern w:val="0"/>
          <w:sz w:val="24"/>
          <w:lang w:val="zh-CN"/>
        </w:rPr>
      </w:pPr>
    </w:p>
    <w:p>
      <w:pPr>
        <w:snapToGrid w:val="0"/>
        <w:spacing w:before="119" w:line="331" w:lineRule="auto"/>
        <w:rPr>
          <w:rFonts w:ascii="宋体" w:hAnsi="宋体"/>
          <w:b/>
          <w:sz w:val="28"/>
          <w:szCs w:val="28"/>
        </w:rPr>
      </w:pPr>
    </w:p>
    <w:p>
      <w:pPr>
        <w:spacing w:line="360" w:lineRule="auto"/>
        <w:jc w:val="center"/>
        <w:outlineLvl w:val="0"/>
        <w:rPr>
          <w:rFonts w:ascii="宋体" w:hAnsi="宋体"/>
          <w:b/>
          <w:sz w:val="36"/>
          <w:szCs w:val="36"/>
        </w:rPr>
      </w:pPr>
      <w:r>
        <w:rPr>
          <w:rFonts w:ascii="宋体" w:hAnsi="宋体"/>
          <w:b/>
          <w:sz w:val="36"/>
          <w:szCs w:val="36"/>
        </w:rPr>
        <w:br w:type="page"/>
      </w:r>
      <w:bookmarkStart w:id="699" w:name="_Toc20502"/>
      <w:bookmarkStart w:id="700" w:name="_Toc27794"/>
      <w:r>
        <w:rPr>
          <w:rFonts w:ascii="宋体" w:hAnsi="宋体"/>
          <w:b/>
          <w:sz w:val="36"/>
          <w:szCs w:val="36"/>
        </w:rPr>
        <w:t>第</w:t>
      </w:r>
      <w:r>
        <w:rPr>
          <w:rFonts w:hint="eastAsia" w:ascii="宋体" w:hAnsi="宋体"/>
          <w:b/>
          <w:sz w:val="36"/>
          <w:szCs w:val="36"/>
        </w:rPr>
        <w:t>六</w:t>
      </w:r>
      <w:r>
        <w:rPr>
          <w:rFonts w:ascii="宋体" w:hAnsi="宋体"/>
          <w:b/>
          <w:sz w:val="36"/>
          <w:szCs w:val="36"/>
        </w:rPr>
        <w:t xml:space="preserve">章  </w:t>
      </w:r>
      <w:r>
        <w:rPr>
          <w:rFonts w:hint="eastAsia" w:ascii="宋体" w:hAnsi="宋体"/>
          <w:b/>
          <w:sz w:val="36"/>
          <w:szCs w:val="36"/>
        </w:rPr>
        <w:t>响应文件</w:t>
      </w:r>
      <w:r>
        <w:rPr>
          <w:rFonts w:ascii="宋体" w:hAnsi="宋体"/>
          <w:b/>
          <w:sz w:val="36"/>
          <w:szCs w:val="36"/>
        </w:rPr>
        <w:t>格式</w:t>
      </w:r>
      <w:bookmarkEnd w:id="699"/>
      <w:bookmarkEnd w:id="700"/>
    </w:p>
    <w:p>
      <w:pPr>
        <w:tabs>
          <w:tab w:val="left" w:pos="900"/>
          <w:tab w:val="left" w:pos="1980"/>
        </w:tabs>
        <w:snapToGrid w:val="0"/>
        <w:spacing w:line="360" w:lineRule="auto"/>
        <w:ind w:left="142"/>
        <w:rPr>
          <w:rFonts w:ascii="宋体" w:hAnsi="宋体"/>
          <w:b/>
          <w:sz w:val="24"/>
        </w:rPr>
      </w:pPr>
    </w:p>
    <w:p>
      <w:pPr>
        <w:tabs>
          <w:tab w:val="left" w:pos="900"/>
          <w:tab w:val="left" w:pos="1980"/>
        </w:tabs>
        <w:snapToGrid w:val="0"/>
        <w:spacing w:line="360" w:lineRule="auto"/>
        <w:ind w:left="142"/>
        <w:rPr>
          <w:rFonts w:ascii="宋体" w:hAnsi="宋体"/>
          <w:b/>
          <w:sz w:val="24"/>
        </w:rPr>
      </w:pPr>
    </w:p>
    <w:p>
      <w:pPr>
        <w:tabs>
          <w:tab w:val="left" w:pos="900"/>
          <w:tab w:val="left" w:pos="1980"/>
        </w:tabs>
        <w:snapToGrid w:val="0"/>
        <w:spacing w:line="360" w:lineRule="auto"/>
        <w:ind w:left="142"/>
        <w:rPr>
          <w:rFonts w:ascii="宋体" w:hAnsi="宋体"/>
          <w:sz w:val="24"/>
        </w:rPr>
      </w:pPr>
      <w:r>
        <w:rPr>
          <w:rFonts w:hint="eastAsia" w:ascii="宋体" w:hAnsi="宋体"/>
          <w:b/>
          <w:sz w:val="24"/>
        </w:rPr>
        <w:t>供应商</w:t>
      </w:r>
      <w:r>
        <w:rPr>
          <w:rFonts w:ascii="宋体" w:hAnsi="宋体"/>
          <w:b/>
          <w:sz w:val="24"/>
        </w:rPr>
        <w:t>编制文件须知</w:t>
      </w:r>
    </w:p>
    <w:p>
      <w:pPr>
        <w:tabs>
          <w:tab w:val="left" w:pos="900"/>
          <w:tab w:val="left" w:pos="1980"/>
        </w:tabs>
        <w:snapToGrid w:val="0"/>
        <w:spacing w:line="360" w:lineRule="auto"/>
        <w:ind w:left="142"/>
        <w:rPr>
          <w:rFonts w:ascii="宋体" w:hAnsi="宋体"/>
          <w:sz w:val="24"/>
        </w:rPr>
      </w:pPr>
      <w:r>
        <w:rPr>
          <w:rFonts w:ascii="宋体" w:hAnsi="宋体"/>
          <w:sz w:val="24"/>
        </w:rPr>
        <w:t>1、</w:t>
      </w:r>
      <w:r>
        <w:rPr>
          <w:rFonts w:hint="eastAsia" w:ascii="宋体" w:hAnsi="宋体"/>
          <w:sz w:val="24"/>
        </w:rPr>
        <w:t>供应商</w:t>
      </w:r>
      <w:r>
        <w:rPr>
          <w:rFonts w:ascii="宋体" w:hAnsi="宋体"/>
          <w:sz w:val="24"/>
        </w:rPr>
        <w:t>按照本部分的顺序编制</w:t>
      </w:r>
      <w:r>
        <w:rPr>
          <w:rFonts w:hint="eastAsia" w:ascii="宋体" w:hAnsi="宋体"/>
          <w:sz w:val="24"/>
        </w:rPr>
        <w:t>响应文件</w:t>
      </w:r>
      <w:r>
        <w:rPr>
          <w:rFonts w:ascii="宋体" w:hAnsi="宋体"/>
          <w:sz w:val="24"/>
        </w:rPr>
        <w:t>（资格证明文件）、</w:t>
      </w:r>
      <w:r>
        <w:rPr>
          <w:rFonts w:hint="eastAsia" w:ascii="宋体" w:hAnsi="宋体"/>
          <w:sz w:val="24"/>
        </w:rPr>
        <w:t>响应文件</w:t>
      </w:r>
      <w:r>
        <w:rPr>
          <w:rFonts w:ascii="宋体" w:hAnsi="宋体"/>
          <w:sz w:val="24"/>
        </w:rPr>
        <w:t>（商务技术文件），</w:t>
      </w:r>
      <w:r>
        <w:rPr>
          <w:rFonts w:hint="eastAsia" w:ascii="宋体" w:hAnsi="宋体"/>
          <w:sz w:val="24"/>
        </w:rPr>
        <w:t>资格证明文件和商务技术文件可装订成一本；</w:t>
      </w:r>
      <w:r>
        <w:rPr>
          <w:rFonts w:ascii="宋体" w:hAnsi="宋体"/>
          <w:sz w:val="24"/>
        </w:rPr>
        <w:t>编制中涉及格式资料的，应按照本部分提供的内容和格式（所有表格的格式可扩展）填写提交。</w:t>
      </w:r>
    </w:p>
    <w:p>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kern w:val="0"/>
          <w:sz w:val="24"/>
        </w:rPr>
        <w:t>对于</w:t>
      </w:r>
      <w:r>
        <w:rPr>
          <w:rFonts w:hint="eastAsia" w:ascii="宋体" w:hAnsi="宋体"/>
          <w:kern w:val="0"/>
          <w:sz w:val="24"/>
        </w:rPr>
        <w:t>比选文件成交</w:t>
      </w:r>
      <w:r>
        <w:rPr>
          <w:rFonts w:ascii="宋体" w:hAnsi="宋体"/>
          <w:kern w:val="0"/>
          <w:sz w:val="24"/>
        </w:rPr>
        <w:t>记了“实质性格式”文件的，</w:t>
      </w:r>
      <w:r>
        <w:rPr>
          <w:rFonts w:hint="eastAsia" w:ascii="宋体" w:hAnsi="宋体"/>
          <w:sz w:val="24"/>
        </w:rPr>
        <w:t>供应商</w:t>
      </w:r>
      <w:r>
        <w:rPr>
          <w:rFonts w:ascii="宋体" w:hAnsi="宋体"/>
          <w:sz w:val="24"/>
        </w:rPr>
        <w:t>不得改变格式中给定的文字所表达的含义，不得删减格式中的实质性内容，不得自行添加与格式中给定的文字内容相矛盾的内容，不得对应当填写的空格不填写或不实质性响应，</w:t>
      </w:r>
      <w:r>
        <w:rPr>
          <w:rFonts w:ascii="宋体" w:hAnsi="宋体"/>
          <w:kern w:val="0"/>
          <w:sz w:val="24"/>
        </w:rPr>
        <w:t>否则</w:t>
      </w:r>
      <w:r>
        <w:rPr>
          <w:rFonts w:hint="eastAsia" w:ascii="宋体" w:hAnsi="宋体"/>
          <w:b/>
          <w:kern w:val="0"/>
          <w:sz w:val="24"/>
        </w:rPr>
        <w:t>响应</w:t>
      </w:r>
      <w:r>
        <w:rPr>
          <w:rFonts w:ascii="宋体" w:hAnsi="宋体"/>
          <w:b/>
          <w:kern w:val="0"/>
          <w:sz w:val="24"/>
        </w:rPr>
        <w:t>无效</w:t>
      </w:r>
      <w:r>
        <w:rPr>
          <w:rFonts w:ascii="宋体" w:hAnsi="宋体"/>
          <w:kern w:val="0"/>
          <w:sz w:val="24"/>
        </w:rPr>
        <w:t>。未标记“实质性格式”的文件和</w:t>
      </w:r>
      <w:r>
        <w:rPr>
          <w:rFonts w:hint="eastAsia" w:ascii="宋体" w:hAnsi="宋体"/>
          <w:kern w:val="0"/>
          <w:sz w:val="24"/>
        </w:rPr>
        <w:t>比选文件</w:t>
      </w:r>
      <w:r>
        <w:rPr>
          <w:rFonts w:ascii="宋体" w:hAnsi="宋体"/>
          <w:kern w:val="0"/>
          <w:sz w:val="24"/>
        </w:rPr>
        <w:t>未提供格式的内容，可由</w:t>
      </w:r>
      <w:r>
        <w:rPr>
          <w:rFonts w:hint="eastAsia" w:ascii="宋体" w:hAnsi="宋体"/>
          <w:kern w:val="0"/>
          <w:sz w:val="24"/>
        </w:rPr>
        <w:t>供应商</w:t>
      </w:r>
      <w:r>
        <w:rPr>
          <w:rFonts w:ascii="宋体" w:hAnsi="宋体"/>
          <w:kern w:val="0"/>
          <w:sz w:val="24"/>
        </w:rPr>
        <w:t>自行编写。</w:t>
      </w:r>
    </w:p>
    <w:p>
      <w:pPr>
        <w:tabs>
          <w:tab w:val="left" w:pos="900"/>
          <w:tab w:val="left" w:pos="1980"/>
        </w:tabs>
        <w:snapToGrid w:val="0"/>
        <w:spacing w:line="360" w:lineRule="auto"/>
        <w:ind w:left="142"/>
        <w:rPr>
          <w:rFonts w:ascii="宋体" w:hAnsi="宋体"/>
          <w:sz w:val="24"/>
        </w:rPr>
      </w:pPr>
      <w:r>
        <w:rPr>
          <w:rFonts w:ascii="宋体" w:hAnsi="宋体"/>
          <w:sz w:val="24"/>
        </w:rPr>
        <w:t>3、全部声明和问题的回答及所附材料必须是真实的、准确的和完整的。</w:t>
      </w:r>
    </w:p>
    <w:p>
      <w:pPr>
        <w:widowControl/>
        <w:jc w:val="left"/>
        <w:rPr>
          <w:rFonts w:ascii="宋体" w:hAnsi="宋体"/>
          <w:sz w:val="24"/>
        </w:rPr>
      </w:pPr>
      <w:r>
        <w:rPr>
          <w:rFonts w:ascii="宋体" w:hAnsi="宋体"/>
          <w:sz w:val="24"/>
        </w:rPr>
        <w:br w:type="page"/>
      </w:r>
    </w:p>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Pr>
        <w:keepNext/>
        <w:keepLines/>
        <w:autoSpaceDE w:val="0"/>
        <w:autoSpaceDN w:val="0"/>
        <w:adjustRightInd w:val="0"/>
        <w:spacing w:before="120" w:line="300" w:lineRule="auto"/>
        <w:jc w:val="left"/>
        <w:outlineLvl w:val="1"/>
        <w:rPr>
          <w:rFonts w:ascii="宋体" w:hAnsi="宋体"/>
          <w:b/>
          <w:kern w:val="0"/>
          <w:sz w:val="30"/>
          <w:szCs w:val="20"/>
        </w:rPr>
      </w:pPr>
      <w:r>
        <w:rPr>
          <w:rFonts w:ascii="宋体" w:hAnsi="宋体"/>
          <w:b/>
          <w:spacing w:val="20"/>
          <w:sz w:val="24"/>
        </w:rPr>
        <w:t>一、资格证明文件格式</w:t>
      </w:r>
    </w:p>
    <w:p>
      <w:pPr>
        <w:rPr>
          <w:rFonts w:ascii="宋体" w:hAnsi="宋体"/>
          <w:b/>
          <w:spacing w:val="20"/>
          <w:szCs w:val="21"/>
        </w:rPr>
      </w:pPr>
    </w:p>
    <w:p>
      <w:pPr>
        <w:rPr>
          <w:rFonts w:ascii="宋体" w:hAnsi="宋体"/>
          <w:b/>
          <w:sz w:val="24"/>
        </w:rPr>
      </w:pPr>
      <w:r>
        <w:rPr>
          <w:rFonts w:hint="eastAsia" w:ascii="宋体" w:hAnsi="宋体"/>
          <w:b/>
          <w:spacing w:val="20"/>
          <w:sz w:val="24"/>
        </w:rPr>
        <w:t>响应文件</w:t>
      </w:r>
      <w:r>
        <w:rPr>
          <w:rFonts w:ascii="宋体" w:hAnsi="宋体"/>
          <w:b/>
          <w:spacing w:val="20"/>
          <w:sz w:val="24"/>
        </w:rPr>
        <w:t>（资格证明文件）</w:t>
      </w:r>
      <w:r>
        <w:rPr>
          <w:rFonts w:ascii="宋体" w:hAnsi="宋体"/>
          <w:b/>
          <w:sz w:val="24"/>
        </w:rPr>
        <w:t>封面（非实质性格式）</w:t>
      </w:r>
    </w:p>
    <w:p>
      <w:pPr>
        <w:jc w:val="center"/>
        <w:rPr>
          <w:rFonts w:ascii="宋体" w:hAnsi="宋体"/>
          <w:szCs w:val="21"/>
        </w:rPr>
      </w:pPr>
    </w:p>
    <w:p>
      <w:pPr>
        <w:jc w:val="center"/>
        <w:rPr>
          <w:rFonts w:ascii="宋体" w:hAnsi="宋体"/>
          <w:b/>
          <w:spacing w:val="60"/>
          <w:sz w:val="84"/>
          <w:szCs w:val="84"/>
        </w:rPr>
      </w:pPr>
      <w:r>
        <w:rPr>
          <w:rFonts w:hint="eastAsia" w:ascii="宋体" w:hAnsi="宋体"/>
          <w:b/>
          <w:spacing w:val="60"/>
          <w:sz w:val="84"/>
          <w:szCs w:val="84"/>
        </w:rPr>
        <w:t>响</w:t>
      </w:r>
      <w:r>
        <w:rPr>
          <w:rFonts w:ascii="宋体" w:hAnsi="宋体"/>
          <w:b/>
          <w:spacing w:val="60"/>
          <w:sz w:val="84"/>
          <w:szCs w:val="84"/>
        </w:rPr>
        <w:t xml:space="preserve"> </w:t>
      </w:r>
      <w:r>
        <w:rPr>
          <w:rFonts w:hint="eastAsia" w:ascii="宋体" w:hAnsi="宋体"/>
          <w:b/>
          <w:spacing w:val="60"/>
          <w:sz w:val="84"/>
          <w:szCs w:val="84"/>
        </w:rPr>
        <w:t>应</w:t>
      </w:r>
      <w:r>
        <w:rPr>
          <w:rFonts w:ascii="宋体" w:hAnsi="宋体"/>
          <w:b/>
          <w:spacing w:val="60"/>
          <w:sz w:val="84"/>
          <w:szCs w:val="84"/>
        </w:rPr>
        <w:t xml:space="preserve"> 文 件</w:t>
      </w:r>
    </w:p>
    <w:p>
      <w:pPr>
        <w:jc w:val="center"/>
        <w:rPr>
          <w:rFonts w:ascii="宋体" w:hAnsi="宋体"/>
          <w:b/>
          <w:spacing w:val="60"/>
          <w:sz w:val="52"/>
          <w:szCs w:val="52"/>
        </w:rPr>
      </w:pPr>
      <w:r>
        <w:rPr>
          <w:rFonts w:ascii="宋体" w:hAnsi="宋体"/>
          <w:b/>
          <w:spacing w:val="60"/>
          <w:sz w:val="52"/>
          <w:szCs w:val="52"/>
        </w:rPr>
        <w:t>（资格证明文件）</w:t>
      </w:r>
    </w:p>
    <w:p>
      <w:pPr>
        <w:ind w:firstLine="542" w:firstLineChars="150"/>
        <w:rPr>
          <w:rFonts w:ascii="宋体" w:hAnsi="宋体"/>
          <w:b/>
          <w:spacing w:val="20"/>
          <w:sz w:val="32"/>
          <w:szCs w:val="32"/>
        </w:rPr>
      </w:pPr>
    </w:p>
    <w:p>
      <w:pPr>
        <w:ind w:firstLine="542" w:firstLineChars="150"/>
        <w:rPr>
          <w:rFonts w:ascii="宋体" w:hAnsi="宋体"/>
          <w:b/>
          <w:spacing w:val="20"/>
          <w:sz w:val="32"/>
          <w:szCs w:val="32"/>
        </w:rPr>
      </w:pPr>
    </w:p>
    <w:p>
      <w:pPr>
        <w:ind w:firstLine="542" w:firstLineChars="150"/>
        <w:rPr>
          <w:rFonts w:ascii="宋体" w:hAnsi="宋体"/>
          <w:b/>
          <w:spacing w:val="20"/>
          <w:sz w:val="32"/>
          <w:szCs w:val="32"/>
        </w:rPr>
      </w:pPr>
      <w:r>
        <w:rPr>
          <w:rFonts w:ascii="宋体" w:hAnsi="宋体"/>
          <w:b/>
          <w:spacing w:val="20"/>
          <w:sz w:val="32"/>
          <w:szCs w:val="32"/>
        </w:rPr>
        <w:t>项目名称:</w:t>
      </w:r>
    </w:p>
    <w:p>
      <w:pPr>
        <w:ind w:firstLine="542" w:firstLineChars="150"/>
        <w:rPr>
          <w:rFonts w:ascii="宋体" w:hAnsi="宋体"/>
          <w:b/>
          <w:spacing w:val="20"/>
          <w:sz w:val="32"/>
          <w:szCs w:val="32"/>
        </w:rPr>
      </w:pPr>
      <w:r>
        <w:rPr>
          <w:rFonts w:ascii="宋体" w:hAnsi="宋体"/>
          <w:b/>
          <w:spacing w:val="20"/>
          <w:sz w:val="32"/>
          <w:szCs w:val="32"/>
        </w:rPr>
        <w:t>项目编号/包号：</w:t>
      </w:r>
    </w:p>
    <w:p>
      <w:pPr>
        <w:ind w:firstLine="542" w:firstLineChars="150"/>
        <w:rPr>
          <w:rFonts w:ascii="宋体" w:hAnsi="宋体"/>
          <w:b/>
          <w:spacing w:val="20"/>
          <w:sz w:val="32"/>
          <w:szCs w:val="32"/>
        </w:rPr>
      </w:pPr>
    </w:p>
    <w:p>
      <w:pPr>
        <w:ind w:firstLine="542" w:firstLineChars="150"/>
        <w:rPr>
          <w:rFonts w:ascii="宋体" w:hAnsi="宋体"/>
          <w:b/>
          <w:spacing w:val="20"/>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pacing w:val="20"/>
          <w:sz w:val="32"/>
          <w:szCs w:val="32"/>
        </w:rPr>
      </w:pPr>
    </w:p>
    <w:p>
      <w:pPr>
        <w:jc w:val="center"/>
        <w:rPr>
          <w:rFonts w:ascii="宋体" w:hAnsi="宋体"/>
          <w:b/>
          <w:spacing w:val="20"/>
          <w:sz w:val="32"/>
          <w:szCs w:val="32"/>
        </w:rPr>
      </w:pPr>
    </w:p>
    <w:p>
      <w:pPr>
        <w:jc w:val="center"/>
        <w:rPr>
          <w:rFonts w:ascii="宋体" w:hAnsi="宋体"/>
          <w:b/>
          <w:spacing w:val="20"/>
          <w:sz w:val="32"/>
          <w:szCs w:val="32"/>
        </w:rPr>
      </w:pPr>
    </w:p>
    <w:p>
      <w:pPr>
        <w:spacing w:line="360" w:lineRule="auto"/>
        <w:ind w:firstLine="1445" w:firstLineChars="400"/>
        <w:jc w:val="left"/>
        <w:rPr>
          <w:rFonts w:ascii="宋体" w:hAnsi="宋体"/>
          <w:b/>
          <w:spacing w:val="20"/>
          <w:sz w:val="32"/>
          <w:szCs w:val="32"/>
        </w:rPr>
      </w:pPr>
      <w:r>
        <w:rPr>
          <w:rFonts w:hint="eastAsia" w:ascii="宋体" w:hAnsi="宋体"/>
          <w:b/>
          <w:spacing w:val="20"/>
          <w:sz w:val="32"/>
          <w:szCs w:val="32"/>
        </w:rPr>
        <w:t>供应商</w:t>
      </w:r>
      <w:r>
        <w:rPr>
          <w:rFonts w:ascii="宋体" w:hAnsi="宋体"/>
          <w:b/>
          <w:spacing w:val="20"/>
          <w:sz w:val="32"/>
          <w:szCs w:val="32"/>
        </w:rPr>
        <w:t>名称：</w:t>
      </w:r>
    </w:p>
    <w:p>
      <w:pPr>
        <w:jc w:val="center"/>
        <w:rPr>
          <w:rFonts w:ascii="宋体" w:hAnsi="宋体"/>
          <w:b/>
          <w:sz w:val="32"/>
          <w:szCs w:val="32"/>
        </w:rPr>
      </w:pPr>
    </w:p>
    <w:p>
      <w:pPr>
        <w:rPr>
          <w:rFonts w:ascii="宋体" w:hAnsi="宋体"/>
          <w:b/>
        </w:rPr>
      </w:pPr>
      <w:r>
        <w:rPr>
          <w:rFonts w:ascii="宋体" w:hAnsi="宋体"/>
          <w:b/>
          <w:spacing w:val="20"/>
          <w:sz w:val="32"/>
          <w:szCs w:val="32"/>
        </w:rPr>
        <w:br w:type="page"/>
      </w:r>
    </w:p>
    <w:p>
      <w:pPr>
        <w:spacing w:line="360" w:lineRule="auto"/>
        <w:outlineLvl w:val="2"/>
        <w:rPr>
          <w:rFonts w:ascii="宋体" w:hAnsi="宋体"/>
          <w:color w:val="000000"/>
          <w:sz w:val="24"/>
          <w:szCs w:val="20"/>
        </w:rPr>
      </w:pPr>
      <w:r>
        <w:rPr>
          <w:rFonts w:ascii="宋体" w:hAnsi="宋体"/>
          <w:color w:val="000000"/>
          <w:sz w:val="24"/>
          <w:szCs w:val="20"/>
        </w:rPr>
        <w:t xml:space="preserve">1 </w:t>
      </w:r>
      <w:r>
        <w:rPr>
          <w:rFonts w:ascii="宋体" w:hAnsi="宋体"/>
          <w:sz w:val="24"/>
        </w:rPr>
        <w:t>满足《中华人民共和国政府采购法》第二十二条规定及法律法规的其他规定</w:t>
      </w:r>
    </w:p>
    <w:p>
      <w:pPr>
        <w:spacing w:line="360" w:lineRule="auto"/>
        <w:outlineLvl w:val="2"/>
        <w:rPr>
          <w:rFonts w:ascii="宋体" w:hAnsi="宋体"/>
          <w:color w:val="000000"/>
          <w:sz w:val="24"/>
          <w:szCs w:val="20"/>
        </w:rPr>
      </w:pPr>
      <w:r>
        <w:rPr>
          <w:rFonts w:ascii="宋体" w:hAnsi="宋体"/>
          <w:color w:val="000000"/>
          <w:sz w:val="24"/>
          <w:szCs w:val="20"/>
        </w:rPr>
        <w:t>1-1营业执照等证明文件</w:t>
      </w:r>
    </w:p>
    <w:p>
      <w:pPr>
        <w:tabs>
          <w:tab w:val="left" w:pos="1080"/>
        </w:tabs>
        <w:snapToGrid w:val="0"/>
        <w:rPr>
          <w:rFonts w:ascii="宋体" w:hAnsi="宋体"/>
          <w:sz w:val="24"/>
        </w:rPr>
      </w:pPr>
    </w:p>
    <w:p>
      <w:pPr>
        <w:widowControl/>
        <w:jc w:val="left"/>
        <w:rPr>
          <w:rFonts w:ascii="宋体" w:hAnsi="宋体"/>
          <w:color w:val="000000"/>
          <w:sz w:val="24"/>
          <w:szCs w:val="20"/>
        </w:rPr>
      </w:pPr>
      <w:r>
        <w:rPr>
          <w:rFonts w:ascii="宋体" w:hAnsi="宋体"/>
          <w:color w:val="000000"/>
          <w:sz w:val="24"/>
        </w:rPr>
        <w:br w:type="page"/>
      </w:r>
    </w:p>
    <w:p>
      <w:pPr>
        <w:pStyle w:val="7"/>
        <w:rPr>
          <w:rFonts w:hAnsi="宋体"/>
          <w:b w:val="0"/>
          <w:bCs/>
          <w:color w:val="000000"/>
          <w:u w:val="none"/>
        </w:rPr>
      </w:pPr>
      <w:r>
        <w:rPr>
          <w:rFonts w:hAnsi="宋体"/>
          <w:b w:val="0"/>
          <w:color w:val="000000"/>
          <w:u w:val="none"/>
        </w:rPr>
        <w:t xml:space="preserve">1-2 </w:t>
      </w:r>
      <w:r>
        <w:rPr>
          <w:rFonts w:hint="eastAsia" w:hAnsi="宋体"/>
          <w:b w:val="0"/>
          <w:color w:val="000000"/>
          <w:u w:val="none"/>
        </w:rPr>
        <w:t>供应商</w:t>
      </w:r>
      <w:r>
        <w:rPr>
          <w:rFonts w:hAnsi="宋体"/>
          <w:b w:val="0"/>
          <w:color w:val="000000"/>
          <w:u w:val="none"/>
        </w:rPr>
        <w:t>资格声明书（实质性格式）</w:t>
      </w:r>
    </w:p>
    <w:p>
      <w:pPr>
        <w:jc w:val="center"/>
        <w:rPr>
          <w:rFonts w:ascii="宋体" w:hAnsi="宋体"/>
          <w:b/>
          <w:color w:val="000000"/>
          <w:sz w:val="36"/>
          <w:szCs w:val="36"/>
        </w:rPr>
      </w:pPr>
      <w:r>
        <w:rPr>
          <w:rFonts w:hint="eastAsia" w:ascii="宋体" w:hAnsi="宋体"/>
          <w:b/>
          <w:color w:val="000000"/>
          <w:sz w:val="36"/>
          <w:szCs w:val="36"/>
        </w:rPr>
        <w:t>供应商资格声明书</w:t>
      </w:r>
    </w:p>
    <w:p>
      <w:pPr>
        <w:tabs>
          <w:tab w:val="left" w:pos="5580"/>
        </w:tabs>
        <w:spacing w:line="360" w:lineRule="auto"/>
        <w:rPr>
          <w:rFonts w:ascii="宋体" w:hAnsi="宋体"/>
          <w:sz w:val="24"/>
        </w:rPr>
      </w:pPr>
    </w:p>
    <w:p>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pPr>
        <w:spacing w:line="360" w:lineRule="auto"/>
        <w:ind w:firstLine="480" w:firstLineChars="200"/>
        <w:rPr>
          <w:rFonts w:ascii="宋体" w:hAnsi="宋体"/>
          <w:sz w:val="24"/>
        </w:rPr>
      </w:pPr>
      <w:r>
        <w:rPr>
          <w:rFonts w:ascii="宋体" w:hAnsi="宋体"/>
          <w:sz w:val="24"/>
        </w:rPr>
        <w:t>在参与本次项目</w:t>
      </w:r>
      <w:r>
        <w:rPr>
          <w:rFonts w:hint="eastAsia" w:ascii="宋体" w:hAnsi="宋体"/>
          <w:sz w:val="24"/>
        </w:rPr>
        <w:t>比选</w:t>
      </w:r>
      <w:r>
        <w:rPr>
          <w:rFonts w:ascii="宋体" w:hAnsi="宋体"/>
          <w:sz w:val="24"/>
        </w:rPr>
        <w:t>中，我单位承诺：</w:t>
      </w:r>
    </w:p>
    <w:p>
      <w:pPr>
        <w:numPr>
          <w:ilvl w:val="0"/>
          <w:numId w:val="14"/>
        </w:numPr>
        <w:spacing w:line="360" w:lineRule="auto"/>
        <w:ind w:left="1134"/>
        <w:rPr>
          <w:rFonts w:ascii="宋体" w:hAnsi="宋体"/>
          <w:sz w:val="24"/>
          <w:szCs w:val="22"/>
        </w:rPr>
      </w:pPr>
      <w:r>
        <w:rPr>
          <w:rFonts w:ascii="宋体" w:hAnsi="宋体"/>
          <w:sz w:val="24"/>
          <w:szCs w:val="22"/>
        </w:rPr>
        <w:t>具有良好的商业信誉和健全的财务会计制度；</w:t>
      </w:r>
    </w:p>
    <w:p>
      <w:pPr>
        <w:numPr>
          <w:ilvl w:val="0"/>
          <w:numId w:val="14"/>
        </w:numPr>
        <w:spacing w:line="360" w:lineRule="auto"/>
        <w:ind w:left="1134"/>
        <w:rPr>
          <w:rFonts w:ascii="宋体" w:hAnsi="宋体"/>
          <w:sz w:val="24"/>
          <w:szCs w:val="22"/>
        </w:rPr>
      </w:pPr>
      <w:r>
        <w:rPr>
          <w:rFonts w:ascii="宋体" w:hAnsi="宋体"/>
          <w:sz w:val="24"/>
          <w:szCs w:val="22"/>
        </w:rPr>
        <w:t>具有履行合同所必需的设备和专业技术能力；</w:t>
      </w:r>
    </w:p>
    <w:p>
      <w:pPr>
        <w:numPr>
          <w:ilvl w:val="0"/>
          <w:numId w:val="14"/>
        </w:numPr>
        <w:spacing w:line="360" w:lineRule="auto"/>
        <w:ind w:left="1134"/>
        <w:rPr>
          <w:rFonts w:ascii="宋体" w:hAnsi="宋体"/>
          <w:sz w:val="24"/>
          <w:szCs w:val="22"/>
        </w:rPr>
      </w:pPr>
      <w:r>
        <w:rPr>
          <w:rFonts w:ascii="宋体" w:hAnsi="宋体"/>
          <w:sz w:val="24"/>
          <w:szCs w:val="22"/>
        </w:rPr>
        <w:t>有依法缴纳税收和社会保障资金的良好记录；</w:t>
      </w:r>
    </w:p>
    <w:p>
      <w:pPr>
        <w:numPr>
          <w:ilvl w:val="0"/>
          <w:numId w:val="14"/>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4"/>
        </w:numPr>
        <w:spacing w:line="360" w:lineRule="auto"/>
        <w:ind w:left="1134"/>
        <w:rPr>
          <w:rFonts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pPr>
        <w:numPr>
          <w:ilvl w:val="0"/>
          <w:numId w:val="14"/>
        </w:numPr>
        <w:spacing w:line="360" w:lineRule="auto"/>
        <w:ind w:left="1134"/>
        <w:rPr>
          <w:rFonts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pPr>
        <w:numPr>
          <w:ilvl w:val="0"/>
          <w:numId w:val="14"/>
        </w:numPr>
        <w:spacing w:line="360" w:lineRule="auto"/>
        <w:ind w:left="1134"/>
        <w:rPr>
          <w:rFonts w:ascii="宋体" w:hAnsi="宋体"/>
          <w:sz w:val="24"/>
          <w:szCs w:val="22"/>
        </w:rPr>
      </w:pPr>
      <w:r>
        <w:rPr>
          <w:rFonts w:ascii="宋体" w:hAnsi="宋体"/>
          <w:sz w:val="24"/>
          <w:szCs w:val="22"/>
        </w:rPr>
        <w:t>与我单位存在“单位负责人为同一人或者存在直接控股、管理关系”的其他法人单位信息如下：</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sz w:val="24"/>
              </w:rPr>
            </w:pPr>
            <w:r>
              <w:rPr>
                <w:rFonts w:ascii="宋体" w:hAnsi="宋体"/>
                <w:sz w:val="24"/>
              </w:rPr>
              <w:t>序号</w:t>
            </w:r>
          </w:p>
        </w:tc>
        <w:tc>
          <w:tcPr>
            <w:tcW w:w="4574" w:type="dxa"/>
            <w:vAlign w:val="center"/>
          </w:tcPr>
          <w:p>
            <w:pPr>
              <w:jc w:val="center"/>
              <w:rPr>
                <w:rFonts w:ascii="宋体" w:hAnsi="宋体"/>
                <w:sz w:val="24"/>
              </w:rPr>
            </w:pPr>
            <w:r>
              <w:rPr>
                <w:rFonts w:ascii="宋体" w:hAnsi="宋体"/>
                <w:sz w:val="24"/>
              </w:rPr>
              <w:t>单位名称</w:t>
            </w:r>
          </w:p>
        </w:tc>
        <w:tc>
          <w:tcPr>
            <w:tcW w:w="2976" w:type="dxa"/>
            <w:vAlign w:val="center"/>
          </w:tcPr>
          <w:p>
            <w:pPr>
              <w:jc w:val="center"/>
              <w:rPr>
                <w:rFonts w:ascii="宋体" w:hAnsi="宋体"/>
                <w:sz w:val="24"/>
              </w:rPr>
            </w:pPr>
            <w:r>
              <w:rPr>
                <w:rFonts w:ascii="宋体" w:hAnsi="宋体"/>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sz w:val="24"/>
              </w:rPr>
            </w:pPr>
            <w:r>
              <w:rPr>
                <w:rFonts w:ascii="宋体" w:hAnsi="宋体"/>
                <w:sz w:val="24"/>
              </w:rPr>
              <w:t>1</w:t>
            </w:r>
          </w:p>
        </w:tc>
        <w:tc>
          <w:tcPr>
            <w:tcW w:w="4574" w:type="dxa"/>
            <w:vAlign w:val="center"/>
          </w:tcPr>
          <w:p>
            <w:pPr>
              <w:jc w:val="center"/>
              <w:rPr>
                <w:rFonts w:ascii="宋体" w:hAnsi="宋体"/>
                <w:sz w:val="24"/>
              </w:rPr>
            </w:pPr>
          </w:p>
        </w:tc>
        <w:tc>
          <w:tcPr>
            <w:tcW w:w="2976"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sz w:val="24"/>
              </w:rPr>
            </w:pPr>
            <w:r>
              <w:rPr>
                <w:rFonts w:ascii="宋体" w:hAnsi="宋体"/>
                <w:sz w:val="24"/>
              </w:rPr>
              <w:t>2</w:t>
            </w:r>
          </w:p>
        </w:tc>
        <w:tc>
          <w:tcPr>
            <w:tcW w:w="4574" w:type="dxa"/>
            <w:vAlign w:val="center"/>
          </w:tcPr>
          <w:p>
            <w:pPr>
              <w:jc w:val="center"/>
              <w:rPr>
                <w:rFonts w:ascii="宋体" w:hAnsi="宋体"/>
                <w:sz w:val="24"/>
              </w:rPr>
            </w:pPr>
          </w:p>
        </w:tc>
        <w:tc>
          <w:tcPr>
            <w:tcW w:w="2976"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sz w:val="24"/>
              </w:rPr>
            </w:pPr>
            <w:r>
              <w:rPr>
                <w:rFonts w:ascii="宋体" w:hAnsi="宋体"/>
                <w:sz w:val="24"/>
              </w:rPr>
              <w:t>…</w:t>
            </w:r>
          </w:p>
        </w:tc>
        <w:tc>
          <w:tcPr>
            <w:tcW w:w="4574" w:type="dxa"/>
            <w:vAlign w:val="center"/>
          </w:tcPr>
          <w:p>
            <w:pPr>
              <w:jc w:val="center"/>
              <w:rPr>
                <w:rFonts w:ascii="宋体" w:hAnsi="宋体"/>
                <w:sz w:val="24"/>
              </w:rPr>
            </w:pPr>
          </w:p>
        </w:tc>
        <w:tc>
          <w:tcPr>
            <w:tcW w:w="2976" w:type="dxa"/>
            <w:vAlign w:val="center"/>
          </w:tcPr>
          <w:p>
            <w:pPr>
              <w:jc w:val="center"/>
              <w:rPr>
                <w:rFonts w:ascii="宋体" w:hAnsi="宋体"/>
                <w:sz w:val="24"/>
              </w:rPr>
            </w:pPr>
          </w:p>
        </w:tc>
      </w:tr>
    </w:tbl>
    <w:p>
      <w:pPr>
        <w:ind w:firstLine="480" w:firstLineChars="200"/>
        <w:rPr>
          <w:rFonts w:ascii="宋体" w:hAnsi="宋体"/>
          <w:sz w:val="24"/>
          <w:szCs w:val="22"/>
        </w:rPr>
      </w:pPr>
      <w:r>
        <w:rPr>
          <w:rFonts w:ascii="宋体" w:hAnsi="宋体"/>
          <w:sz w:val="24"/>
        </w:rPr>
        <w:t>上述声明真实有效，否则我方负全部责任。</w:t>
      </w:r>
    </w:p>
    <w:p>
      <w:pPr>
        <w:autoSpaceDE w:val="0"/>
        <w:autoSpaceDN w:val="0"/>
        <w:adjustRightInd w:val="0"/>
        <w:snapToGrid w:val="0"/>
        <w:spacing w:before="25" w:after="25" w:line="360" w:lineRule="auto"/>
        <w:jc w:val="right"/>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    ____________</w:t>
      </w:r>
    </w:p>
    <w:p>
      <w:pPr>
        <w:spacing w:line="360" w:lineRule="auto"/>
        <w:ind w:right="360" w:firstLine="480"/>
        <w:jc w:val="right"/>
        <w:rPr>
          <w:rFonts w:ascii="宋体" w:hAnsi="宋体"/>
          <w:sz w:val="24"/>
        </w:rPr>
      </w:pPr>
      <w:r>
        <w:rPr>
          <w:rFonts w:ascii="宋体" w:hAnsi="宋体"/>
          <w:color w:val="000000"/>
          <w:sz w:val="24"/>
          <w:szCs w:val="20"/>
        </w:rPr>
        <w:t xml:space="preserve">日期：_____年______月______日   </w:t>
      </w:r>
    </w:p>
    <w:p>
      <w:pPr>
        <w:spacing w:line="360" w:lineRule="auto"/>
        <w:rPr>
          <w:rFonts w:ascii="宋体" w:hAnsi="宋体"/>
          <w:sz w:val="24"/>
        </w:rPr>
      </w:pPr>
      <w:r>
        <w:rPr>
          <w:rFonts w:ascii="宋体" w:hAnsi="宋体"/>
          <w:sz w:val="24"/>
        </w:rPr>
        <w:t>说明：</w:t>
      </w:r>
      <w:r>
        <w:rPr>
          <w:rFonts w:hint="eastAsia" w:ascii="宋体" w:hAnsi="宋体"/>
          <w:sz w:val="24"/>
        </w:rPr>
        <w:t>供应商承诺不实的，依据《政府采购法》第七十七条“提供虚假材料谋取中标、成交的”有关规定予以处理</w:t>
      </w:r>
      <w:r>
        <w:rPr>
          <w:rFonts w:ascii="宋体" w:hAnsi="宋体"/>
          <w:sz w:val="24"/>
        </w:rPr>
        <w:t>。</w:t>
      </w:r>
    </w:p>
    <w:p>
      <w:pPr>
        <w:widowControl/>
        <w:jc w:val="left"/>
        <w:rPr>
          <w:rFonts w:ascii="宋体" w:hAnsi="宋体"/>
          <w:sz w:val="24"/>
        </w:rPr>
      </w:pPr>
      <w:r>
        <w:rPr>
          <w:rFonts w:ascii="宋体" w:hAnsi="宋体"/>
          <w:sz w:val="24"/>
        </w:rPr>
        <w:br w:type="page"/>
      </w:r>
    </w:p>
    <w:p>
      <w:pPr>
        <w:spacing w:line="360" w:lineRule="auto"/>
        <w:outlineLvl w:val="2"/>
        <w:rPr>
          <w:color w:val="000000"/>
          <w:sz w:val="24"/>
          <w:szCs w:val="20"/>
        </w:rPr>
      </w:pPr>
      <w:r>
        <w:rPr>
          <w:color w:val="000000"/>
          <w:sz w:val="24"/>
          <w:szCs w:val="20"/>
        </w:rPr>
        <w:t>2 落实政府采购政策需满足的资格要求（如有）</w:t>
      </w:r>
    </w:p>
    <w:p>
      <w:pPr>
        <w:spacing w:line="360" w:lineRule="auto"/>
        <w:outlineLvl w:val="2"/>
        <w:rPr>
          <w:color w:val="000000"/>
          <w:sz w:val="24"/>
          <w:szCs w:val="20"/>
        </w:rPr>
      </w:pPr>
      <w:r>
        <w:rPr>
          <w:color w:val="000000"/>
          <w:sz w:val="24"/>
          <w:szCs w:val="20"/>
        </w:rPr>
        <w:t>2-1中小企业声明函</w:t>
      </w:r>
    </w:p>
    <w:p>
      <w:pPr>
        <w:tabs>
          <w:tab w:val="left" w:pos="5580"/>
        </w:tabs>
        <w:spacing w:line="360" w:lineRule="auto"/>
        <w:rPr>
          <w:sz w:val="24"/>
        </w:rPr>
      </w:pPr>
    </w:p>
    <w:p>
      <w:pPr>
        <w:tabs>
          <w:tab w:val="left" w:pos="5580"/>
        </w:tabs>
        <w:spacing w:line="360" w:lineRule="auto"/>
        <w:rPr>
          <w:sz w:val="24"/>
        </w:rPr>
      </w:pPr>
      <w:r>
        <w:rPr>
          <w:sz w:val="24"/>
        </w:rPr>
        <w:t>说明：</w:t>
      </w:r>
    </w:p>
    <w:p>
      <w:pPr>
        <w:tabs>
          <w:tab w:val="left" w:pos="5580"/>
        </w:tabs>
        <w:spacing w:line="360" w:lineRule="auto"/>
        <w:rPr>
          <w:sz w:val="24"/>
        </w:rPr>
      </w:pPr>
      <w:r>
        <w:rPr>
          <w:sz w:val="24"/>
        </w:rPr>
        <w:t>（1）如本项目（包）不专门面向中小企业预留采购份额，</w:t>
      </w:r>
      <w:r>
        <w:rPr>
          <w:rFonts w:hint="eastAsia"/>
          <w:sz w:val="24"/>
        </w:rPr>
        <w:t>资格证明文件部分</w:t>
      </w:r>
      <w:r>
        <w:rPr>
          <w:sz w:val="24"/>
        </w:rPr>
        <w:t>无需提供《中小企业声明函》。</w:t>
      </w:r>
    </w:p>
    <w:p>
      <w:pPr>
        <w:tabs>
          <w:tab w:val="left" w:pos="5580"/>
        </w:tabs>
        <w:spacing w:line="360" w:lineRule="auto"/>
        <w:rPr>
          <w:b/>
          <w:bCs/>
          <w:sz w:val="24"/>
        </w:rPr>
      </w:pPr>
      <w:r>
        <w:rPr>
          <w:b/>
          <w:bCs/>
          <w:sz w:val="24"/>
        </w:rPr>
        <w:t>（2）如本项目（包）专门面向中小/小微企业采购，须提供《中小企业声明函》</w:t>
      </w:r>
      <w:r>
        <w:rPr>
          <w:b/>
          <w:bCs/>
          <w:color w:val="000000"/>
          <w:sz w:val="24"/>
          <w:szCs w:val="20"/>
        </w:rPr>
        <w:t>（实质性格式）</w:t>
      </w:r>
      <w:r>
        <w:rPr>
          <w:b/>
          <w:bCs/>
          <w:sz w:val="24"/>
        </w:rPr>
        <w:t>。</w:t>
      </w:r>
    </w:p>
    <w:p>
      <w:pPr>
        <w:tabs>
          <w:tab w:val="left" w:pos="5580"/>
        </w:tabs>
        <w:spacing w:line="360" w:lineRule="auto"/>
        <w:rPr>
          <w:sz w:val="24"/>
        </w:rPr>
      </w:pPr>
      <w:r>
        <w:rPr>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pPr>
        <w:tabs>
          <w:tab w:val="left" w:pos="5580"/>
        </w:tabs>
        <w:spacing w:line="360" w:lineRule="auto"/>
        <w:rPr>
          <w:sz w:val="24"/>
        </w:rPr>
      </w:pPr>
      <w:r>
        <w:rPr>
          <w:rFonts w:hint="eastAsia"/>
          <w:sz w:val="24"/>
        </w:rPr>
        <w:t>（4）其他</w:t>
      </w:r>
    </w:p>
    <w:p>
      <w:pPr>
        <w:tabs>
          <w:tab w:val="left" w:pos="5580"/>
        </w:tabs>
        <w:spacing w:line="360" w:lineRule="auto"/>
        <w:rPr>
          <w:sz w:val="24"/>
        </w:rPr>
      </w:pPr>
      <w:r>
        <w:rPr>
          <w:rFonts w:hint="eastAsia"/>
          <w:sz w:val="24"/>
        </w:rPr>
        <w:t>1）中小企业参加政府采购活动，应当出具此格式文件。《中小企业声明函》由参加政府采购活动的供应商出具。联合体响应的，《中小企业声明函》由牵头人出具。</w:t>
      </w:r>
    </w:p>
    <w:p>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sz w:val="24"/>
        </w:rPr>
      </w:pPr>
      <w:r>
        <w:rPr>
          <w:rFonts w:hint="eastAsia"/>
          <w:sz w:val="24"/>
        </w:rPr>
        <w:t>3）对于多标的的采购项目，供应商应充分、准确地了解所投产品制造企业信息。对相关情况了解不清楚的，不建议填报本声明函。</w:t>
      </w:r>
    </w:p>
    <w:p>
      <w:pPr>
        <w:tabs>
          <w:tab w:val="left" w:pos="5580"/>
        </w:tabs>
        <w:spacing w:line="360" w:lineRule="auto"/>
        <w:rPr>
          <w:sz w:val="24"/>
        </w:rPr>
      </w:pPr>
      <w:r>
        <w:rPr>
          <w:rFonts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widowControl/>
        <w:jc w:val="left"/>
        <w:rPr>
          <w:sz w:val="24"/>
        </w:rPr>
      </w:pPr>
      <w:r>
        <w:rPr>
          <w:sz w:val="24"/>
        </w:rPr>
        <w:br w:type="page"/>
      </w:r>
    </w:p>
    <w:p>
      <w:pPr>
        <w:spacing w:before="240" w:beforeLines="100" w:after="240" w:afterLines="100" w:line="360" w:lineRule="auto"/>
        <w:jc w:val="center"/>
        <w:rPr>
          <w:b/>
          <w:bCs/>
          <w:color w:val="000000"/>
          <w:sz w:val="36"/>
          <w:szCs w:val="36"/>
        </w:rPr>
      </w:pPr>
      <w:r>
        <w:rPr>
          <w:rFonts w:hint="eastAsia"/>
          <w:b/>
          <w:bCs/>
          <w:color w:val="000000"/>
          <w:sz w:val="36"/>
          <w:szCs w:val="36"/>
        </w:rPr>
        <w:t>中小企业声明函（工程、服务）格式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pPr>
        <w:spacing w:line="360" w:lineRule="auto"/>
        <w:ind w:firstLine="504"/>
        <w:rPr>
          <w:spacing w:val="6"/>
          <w:sz w:val="24"/>
        </w:rPr>
      </w:pP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adjustRightInd w:val="0"/>
        <w:snapToGrid w:val="0"/>
        <w:jc w:val="left"/>
        <w:rPr>
          <w:color w:val="000000"/>
          <w:sz w:val="24"/>
          <w:szCs w:val="21"/>
        </w:rPr>
      </w:pPr>
    </w:p>
    <w:p>
      <w:pPr>
        <w:adjustRightInd w:val="0"/>
        <w:snapToGrid w:val="0"/>
        <w:jc w:val="left"/>
        <w:rPr>
          <w:color w:val="000000"/>
          <w:sz w:val="24"/>
          <w:szCs w:val="21"/>
        </w:rPr>
      </w:pPr>
    </w:p>
    <w:tbl>
      <w:tblPr>
        <w:tblStyle w:val="40"/>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outlineLvl w:val="2"/>
        <w:rPr>
          <w:color w:val="000000"/>
          <w:sz w:val="24"/>
          <w:szCs w:val="20"/>
        </w:rPr>
      </w:pPr>
      <w:r>
        <w:rPr>
          <w:color w:val="000000"/>
          <w:sz w:val="24"/>
          <w:szCs w:val="20"/>
        </w:rPr>
        <w:br w:type="page"/>
      </w:r>
    </w:p>
    <w:p>
      <w:pPr>
        <w:spacing w:before="240" w:beforeLines="100" w:after="240" w:afterLines="100" w:line="360" w:lineRule="auto"/>
        <w:jc w:val="center"/>
        <w:rPr>
          <w:b/>
          <w:color w:val="000000"/>
          <w:sz w:val="36"/>
          <w:szCs w:val="36"/>
        </w:rPr>
      </w:pPr>
      <w:r>
        <w:rPr>
          <w:rFonts w:hint="eastAsia"/>
          <w:b/>
          <w:bCs/>
          <w:color w:val="000000"/>
          <w:sz w:val="36"/>
          <w:szCs w:val="36"/>
        </w:rPr>
        <w:t>残疾人福利性单位声明函格式</w:t>
      </w:r>
      <w:r>
        <w:rPr>
          <w:b/>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tabs>
          <w:tab w:val="left" w:pos="4860"/>
        </w:tabs>
        <w:spacing w:line="588" w:lineRule="exact"/>
        <w:ind w:right="1560" w:firstLine="504" w:firstLineChars="200"/>
        <w:jc w:val="center"/>
        <w:rPr>
          <w:spacing w:val="6"/>
          <w:sz w:val="24"/>
        </w:rPr>
      </w:pPr>
      <w:r>
        <w:rPr>
          <w:spacing w:val="6"/>
          <w:sz w:val="24"/>
        </w:rPr>
        <w:t xml:space="preserve">       日  期：</w:t>
      </w:r>
    </w:p>
    <w:p>
      <w:pPr>
        <w:widowControl/>
        <w:jc w:val="left"/>
        <w:rPr>
          <w:color w:val="000000"/>
          <w:sz w:val="24"/>
          <w:szCs w:val="20"/>
        </w:rPr>
      </w:pPr>
      <w:r>
        <w:rPr>
          <w:color w:val="000000"/>
          <w:sz w:val="24"/>
          <w:szCs w:val="20"/>
        </w:rPr>
        <w:br w:type="page"/>
      </w:r>
    </w:p>
    <w:p>
      <w:pPr>
        <w:spacing w:line="360" w:lineRule="auto"/>
        <w:outlineLvl w:val="2"/>
        <w:rPr>
          <w:color w:val="000000"/>
          <w:sz w:val="24"/>
          <w:szCs w:val="20"/>
        </w:rPr>
      </w:pPr>
      <w:r>
        <w:rPr>
          <w:color w:val="000000"/>
          <w:sz w:val="24"/>
          <w:szCs w:val="20"/>
        </w:rPr>
        <w:t>2-2拟分包情况说明及分包意向协议（类型一）（实质性格式）</w:t>
      </w:r>
      <w:r>
        <w:rPr>
          <w:b/>
          <w:color w:val="000000"/>
          <w:sz w:val="24"/>
          <w:szCs w:val="20"/>
        </w:rPr>
        <w:t>（本项目不涉及）</w:t>
      </w:r>
    </w:p>
    <w:p>
      <w:pPr>
        <w:spacing w:line="360" w:lineRule="auto"/>
        <w:outlineLvl w:val="2"/>
        <w:rPr>
          <w:color w:val="000000"/>
          <w:sz w:val="24"/>
          <w:szCs w:val="20"/>
        </w:rPr>
      </w:pPr>
    </w:p>
    <w:p>
      <w:pPr>
        <w:autoSpaceDE w:val="0"/>
        <w:autoSpaceDN w:val="0"/>
        <w:adjustRightInd w:val="0"/>
        <w:jc w:val="center"/>
        <w:rPr>
          <w:color w:val="000000"/>
          <w:sz w:val="30"/>
          <w:szCs w:val="30"/>
        </w:rPr>
      </w:pPr>
    </w:p>
    <w:p>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w:t>
      </w:r>
      <w:r>
        <w:rPr>
          <w:rFonts w:hint="eastAsia"/>
          <w:sz w:val="24"/>
        </w:rPr>
        <w:t>响应</w:t>
      </w:r>
      <w:r>
        <w:rPr>
          <w:sz w:val="24"/>
        </w:rPr>
        <w:t>。拟签订分包合同的单位情况如下表所示，我单位承诺一旦在该项目中获得采购合同将按下表所列情况进行分包，同时承诺分包承担主体不再次分包。</w:t>
      </w:r>
    </w:p>
    <w:tbl>
      <w:tblPr>
        <w:tblStyle w:val="40"/>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shd w:val="clear" w:color="auto" w:fill="auto"/>
            <w:vAlign w:val="center"/>
          </w:tcPr>
          <w:p>
            <w:pPr>
              <w:pStyle w:val="255"/>
              <w:jc w:val="center"/>
              <w:rPr>
                <w:sz w:val="24"/>
              </w:rPr>
            </w:pPr>
            <w:r>
              <w:rPr>
                <w:sz w:val="24"/>
              </w:rPr>
              <w:t>序号</w:t>
            </w:r>
          </w:p>
        </w:tc>
        <w:tc>
          <w:tcPr>
            <w:tcW w:w="1287" w:type="dxa"/>
            <w:shd w:val="clear" w:color="auto" w:fill="auto"/>
            <w:vAlign w:val="center"/>
          </w:tcPr>
          <w:p>
            <w:pPr>
              <w:pStyle w:val="255"/>
              <w:jc w:val="center"/>
              <w:rPr>
                <w:sz w:val="24"/>
              </w:rPr>
            </w:pPr>
            <w:r>
              <w:rPr>
                <w:sz w:val="24"/>
              </w:rPr>
              <w:t>分包承担</w:t>
            </w:r>
          </w:p>
          <w:p>
            <w:pPr>
              <w:pStyle w:val="255"/>
              <w:jc w:val="center"/>
              <w:rPr>
                <w:sz w:val="24"/>
              </w:rPr>
            </w:pPr>
            <w:r>
              <w:rPr>
                <w:sz w:val="24"/>
              </w:rPr>
              <w:t>主体名称</w:t>
            </w:r>
          </w:p>
        </w:tc>
        <w:tc>
          <w:tcPr>
            <w:tcW w:w="1513" w:type="dxa"/>
            <w:shd w:val="clear" w:color="auto" w:fill="auto"/>
            <w:vAlign w:val="center"/>
          </w:tcPr>
          <w:p>
            <w:pPr>
              <w:pStyle w:val="255"/>
              <w:jc w:val="center"/>
              <w:rPr>
                <w:sz w:val="24"/>
                <w:lang w:eastAsia="zh-CN"/>
              </w:rPr>
            </w:pPr>
            <w:r>
              <w:rPr>
                <w:sz w:val="24"/>
                <w:lang w:eastAsia="zh-CN"/>
              </w:rPr>
              <w:t>分包承担</w:t>
            </w:r>
          </w:p>
          <w:p>
            <w:pPr>
              <w:pStyle w:val="255"/>
              <w:jc w:val="center"/>
              <w:rPr>
                <w:sz w:val="24"/>
                <w:lang w:eastAsia="zh-CN"/>
              </w:rPr>
            </w:pPr>
            <w:r>
              <w:rPr>
                <w:sz w:val="24"/>
                <w:lang w:eastAsia="zh-CN"/>
              </w:rPr>
              <w:t>主体类型</w:t>
            </w:r>
          </w:p>
          <w:p>
            <w:pPr>
              <w:pStyle w:val="255"/>
              <w:jc w:val="center"/>
              <w:rPr>
                <w:sz w:val="24"/>
                <w:lang w:eastAsia="zh-CN"/>
              </w:rPr>
            </w:pPr>
            <w:r>
              <w:rPr>
                <w:rFonts w:hint="eastAsia"/>
                <w:sz w:val="24"/>
                <w:lang w:eastAsia="zh-CN"/>
              </w:rPr>
              <w:t>（勾选）</w:t>
            </w:r>
          </w:p>
        </w:tc>
        <w:tc>
          <w:tcPr>
            <w:tcW w:w="1125" w:type="dxa"/>
            <w:shd w:val="clear" w:color="auto" w:fill="auto"/>
            <w:vAlign w:val="center"/>
          </w:tcPr>
          <w:p>
            <w:pPr>
              <w:pStyle w:val="255"/>
              <w:jc w:val="center"/>
              <w:rPr>
                <w:sz w:val="24"/>
              </w:rPr>
            </w:pPr>
            <w:r>
              <w:rPr>
                <w:sz w:val="24"/>
              </w:rPr>
              <w:t>资质等级</w:t>
            </w:r>
          </w:p>
        </w:tc>
        <w:tc>
          <w:tcPr>
            <w:tcW w:w="1558" w:type="dxa"/>
            <w:shd w:val="clear" w:color="auto" w:fill="auto"/>
            <w:vAlign w:val="center"/>
          </w:tcPr>
          <w:p>
            <w:pPr>
              <w:pStyle w:val="255"/>
              <w:jc w:val="center"/>
              <w:rPr>
                <w:sz w:val="24"/>
              </w:rPr>
            </w:pPr>
            <w:r>
              <w:rPr>
                <w:sz w:val="24"/>
              </w:rPr>
              <w:t>拟分包</w:t>
            </w:r>
          </w:p>
          <w:p>
            <w:pPr>
              <w:pStyle w:val="255"/>
              <w:jc w:val="center"/>
              <w:rPr>
                <w:sz w:val="24"/>
              </w:rPr>
            </w:pPr>
            <w:r>
              <w:rPr>
                <w:sz w:val="24"/>
              </w:rPr>
              <w:t>合同内容</w:t>
            </w:r>
          </w:p>
        </w:tc>
        <w:tc>
          <w:tcPr>
            <w:tcW w:w="1498" w:type="dxa"/>
            <w:shd w:val="clear" w:color="auto" w:fill="auto"/>
            <w:vAlign w:val="center"/>
          </w:tcPr>
          <w:p>
            <w:pPr>
              <w:pStyle w:val="255"/>
              <w:jc w:val="center"/>
              <w:rPr>
                <w:sz w:val="24"/>
                <w:lang w:eastAsia="zh-CN"/>
              </w:rPr>
            </w:pPr>
            <w:r>
              <w:rPr>
                <w:sz w:val="24"/>
                <w:lang w:eastAsia="zh-CN"/>
              </w:rPr>
              <w:t>拟分包</w:t>
            </w:r>
          </w:p>
          <w:p>
            <w:pPr>
              <w:pStyle w:val="255"/>
              <w:jc w:val="center"/>
              <w:rPr>
                <w:sz w:val="24"/>
                <w:lang w:eastAsia="zh-CN"/>
              </w:rPr>
            </w:pPr>
            <w:r>
              <w:rPr>
                <w:sz w:val="24"/>
                <w:lang w:eastAsia="zh-CN"/>
              </w:rPr>
              <w:t>合同金额</w:t>
            </w:r>
          </w:p>
          <w:p>
            <w:pPr>
              <w:pStyle w:val="255"/>
              <w:jc w:val="center"/>
              <w:rPr>
                <w:sz w:val="24"/>
                <w:lang w:eastAsia="zh-CN"/>
              </w:rPr>
            </w:pPr>
            <w:r>
              <w:rPr>
                <w:sz w:val="24"/>
                <w:lang w:eastAsia="zh-CN"/>
              </w:rPr>
              <w:t>（人民币元）</w:t>
            </w:r>
          </w:p>
        </w:tc>
        <w:tc>
          <w:tcPr>
            <w:tcW w:w="1564" w:type="dxa"/>
            <w:shd w:val="clear" w:color="auto" w:fill="auto"/>
            <w:vAlign w:val="center"/>
          </w:tcPr>
          <w:p>
            <w:pPr>
              <w:pStyle w:val="255"/>
              <w:jc w:val="center"/>
              <w:rPr>
                <w:sz w:val="24"/>
                <w:lang w:eastAsia="zh-CN"/>
              </w:rPr>
            </w:pPr>
            <w:r>
              <w:rPr>
                <w:sz w:val="24"/>
                <w:lang w:eastAsia="zh-CN"/>
              </w:rPr>
              <w:t>占该采购包</w:t>
            </w:r>
          </w:p>
          <w:p>
            <w:pPr>
              <w:pStyle w:val="255"/>
              <w:jc w:val="center"/>
              <w:rPr>
                <w:b/>
                <w:sz w:val="24"/>
                <w:lang w:eastAsia="zh-CN"/>
              </w:rPr>
            </w:pPr>
            <w:r>
              <w:rPr>
                <w:rFonts w:hint="eastAsia"/>
                <w:b/>
                <w:sz w:val="24"/>
                <w:lang w:eastAsia="zh-CN"/>
              </w:rPr>
              <w:t>预算</w:t>
            </w:r>
            <w:r>
              <w:rPr>
                <w:b/>
                <w:sz w:val="24"/>
                <w:lang w:eastAsia="zh-CN"/>
              </w:rPr>
              <w:t>金额的</w:t>
            </w:r>
          </w:p>
          <w:p>
            <w:pPr>
              <w:pStyle w:val="255"/>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pPr>
              <w:pStyle w:val="255"/>
              <w:jc w:val="center"/>
              <w:rPr>
                <w:rFonts w:ascii="Times New Roman"/>
                <w:sz w:val="24"/>
              </w:rPr>
            </w:pPr>
            <w:r>
              <w:rPr>
                <w:rFonts w:ascii="Times New Roman"/>
                <w:sz w:val="24"/>
              </w:rPr>
              <w:t>1</w:t>
            </w:r>
          </w:p>
        </w:tc>
        <w:tc>
          <w:tcPr>
            <w:tcW w:w="1287" w:type="dxa"/>
            <w:shd w:val="clear" w:color="auto" w:fill="auto"/>
            <w:vAlign w:val="center"/>
          </w:tcPr>
          <w:p>
            <w:pPr>
              <w:pStyle w:val="255"/>
              <w:jc w:val="center"/>
              <w:rPr>
                <w:rFonts w:ascii="Times New Roman" w:hAnsi="Times New Roman" w:cs="Times New Roman"/>
                <w:sz w:val="30"/>
              </w:rPr>
            </w:pPr>
          </w:p>
        </w:tc>
        <w:tc>
          <w:tcPr>
            <w:tcW w:w="1513" w:type="dxa"/>
            <w:shd w:val="clear" w:color="auto" w:fill="auto"/>
            <w:vAlign w:val="center"/>
          </w:tcPr>
          <w:p>
            <w:pPr>
              <w:pStyle w:val="25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pPr>
              <w:pStyle w:val="25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tc>
        <w:tc>
          <w:tcPr>
            <w:tcW w:w="1125" w:type="dxa"/>
            <w:shd w:val="clear" w:color="auto" w:fill="auto"/>
            <w:vAlign w:val="center"/>
          </w:tcPr>
          <w:p>
            <w:pPr>
              <w:pStyle w:val="255"/>
              <w:jc w:val="center"/>
              <w:rPr>
                <w:rFonts w:ascii="Times New Roman"/>
                <w:sz w:val="30"/>
                <w:lang w:eastAsia="zh-CN"/>
              </w:rPr>
            </w:pPr>
          </w:p>
        </w:tc>
        <w:tc>
          <w:tcPr>
            <w:tcW w:w="1558" w:type="dxa"/>
            <w:shd w:val="clear" w:color="auto" w:fill="auto"/>
            <w:vAlign w:val="center"/>
          </w:tcPr>
          <w:p>
            <w:pPr>
              <w:pStyle w:val="255"/>
              <w:jc w:val="center"/>
              <w:rPr>
                <w:rFonts w:ascii="Times New Roman"/>
                <w:sz w:val="30"/>
                <w:lang w:eastAsia="zh-CN"/>
              </w:rPr>
            </w:pPr>
          </w:p>
        </w:tc>
        <w:tc>
          <w:tcPr>
            <w:tcW w:w="1498" w:type="dxa"/>
            <w:shd w:val="clear" w:color="auto" w:fill="auto"/>
            <w:vAlign w:val="center"/>
          </w:tcPr>
          <w:p>
            <w:pPr>
              <w:pStyle w:val="255"/>
              <w:jc w:val="center"/>
              <w:rPr>
                <w:rFonts w:ascii="Times New Roman"/>
                <w:sz w:val="30"/>
                <w:lang w:eastAsia="zh-CN"/>
              </w:rPr>
            </w:pPr>
          </w:p>
        </w:tc>
        <w:tc>
          <w:tcPr>
            <w:tcW w:w="1564" w:type="dxa"/>
            <w:shd w:val="clear" w:color="auto" w:fill="auto"/>
            <w:vAlign w:val="center"/>
          </w:tcPr>
          <w:p>
            <w:pPr>
              <w:pStyle w:val="255"/>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pPr>
              <w:pStyle w:val="255"/>
              <w:jc w:val="center"/>
              <w:rPr>
                <w:rFonts w:ascii="Times New Roman"/>
                <w:sz w:val="24"/>
                <w:lang w:eastAsia="zh-CN"/>
              </w:rPr>
            </w:pPr>
            <w:r>
              <w:rPr>
                <w:rFonts w:hint="eastAsia" w:ascii="Times New Roman"/>
                <w:sz w:val="24"/>
                <w:lang w:eastAsia="zh-CN"/>
              </w:rPr>
              <w:t>2</w:t>
            </w:r>
          </w:p>
        </w:tc>
        <w:tc>
          <w:tcPr>
            <w:tcW w:w="1287" w:type="dxa"/>
            <w:shd w:val="clear" w:color="auto" w:fill="auto"/>
            <w:vAlign w:val="center"/>
          </w:tcPr>
          <w:p>
            <w:pPr>
              <w:pStyle w:val="255"/>
              <w:jc w:val="center"/>
              <w:rPr>
                <w:rFonts w:ascii="Times New Roman"/>
                <w:sz w:val="30"/>
              </w:rPr>
            </w:pPr>
          </w:p>
        </w:tc>
        <w:tc>
          <w:tcPr>
            <w:tcW w:w="1513" w:type="dxa"/>
            <w:shd w:val="clear" w:color="auto" w:fill="auto"/>
            <w:vAlign w:val="center"/>
          </w:tcPr>
          <w:p>
            <w:pPr>
              <w:pStyle w:val="25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pPr>
              <w:pStyle w:val="25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tc>
        <w:tc>
          <w:tcPr>
            <w:tcW w:w="1125" w:type="dxa"/>
            <w:shd w:val="clear" w:color="auto" w:fill="auto"/>
            <w:vAlign w:val="center"/>
          </w:tcPr>
          <w:p>
            <w:pPr>
              <w:pStyle w:val="255"/>
              <w:jc w:val="center"/>
              <w:rPr>
                <w:rFonts w:ascii="Times New Roman"/>
                <w:sz w:val="30"/>
                <w:lang w:eastAsia="zh-CN"/>
              </w:rPr>
            </w:pPr>
          </w:p>
        </w:tc>
        <w:tc>
          <w:tcPr>
            <w:tcW w:w="1558" w:type="dxa"/>
            <w:shd w:val="clear" w:color="auto" w:fill="auto"/>
            <w:vAlign w:val="center"/>
          </w:tcPr>
          <w:p>
            <w:pPr>
              <w:pStyle w:val="255"/>
              <w:jc w:val="center"/>
              <w:rPr>
                <w:rFonts w:ascii="Times New Roman"/>
                <w:sz w:val="30"/>
                <w:lang w:eastAsia="zh-CN"/>
              </w:rPr>
            </w:pPr>
          </w:p>
        </w:tc>
        <w:tc>
          <w:tcPr>
            <w:tcW w:w="1498" w:type="dxa"/>
            <w:shd w:val="clear" w:color="auto" w:fill="auto"/>
            <w:vAlign w:val="center"/>
          </w:tcPr>
          <w:p>
            <w:pPr>
              <w:pStyle w:val="255"/>
              <w:jc w:val="center"/>
              <w:rPr>
                <w:rFonts w:ascii="Times New Roman"/>
                <w:sz w:val="30"/>
                <w:lang w:eastAsia="zh-CN"/>
              </w:rPr>
            </w:pPr>
          </w:p>
        </w:tc>
        <w:tc>
          <w:tcPr>
            <w:tcW w:w="1564" w:type="dxa"/>
            <w:shd w:val="clear" w:color="auto" w:fill="auto"/>
            <w:vAlign w:val="center"/>
          </w:tcPr>
          <w:p>
            <w:pPr>
              <w:pStyle w:val="255"/>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pPr>
              <w:pStyle w:val="255"/>
              <w:jc w:val="center"/>
              <w:rPr>
                <w:rFonts w:ascii="Times New Roman"/>
                <w:sz w:val="24"/>
                <w:lang w:eastAsia="zh-CN"/>
              </w:rPr>
            </w:pPr>
            <w:r>
              <w:rPr>
                <w:rFonts w:ascii="Times New Roman"/>
                <w:sz w:val="24"/>
                <w:lang w:eastAsia="zh-CN"/>
              </w:rPr>
              <w:t>…</w:t>
            </w:r>
          </w:p>
        </w:tc>
        <w:tc>
          <w:tcPr>
            <w:tcW w:w="1287" w:type="dxa"/>
            <w:shd w:val="clear" w:color="auto" w:fill="auto"/>
            <w:vAlign w:val="center"/>
          </w:tcPr>
          <w:p>
            <w:pPr>
              <w:pStyle w:val="255"/>
              <w:jc w:val="center"/>
              <w:rPr>
                <w:rFonts w:ascii="Times New Roman"/>
                <w:sz w:val="30"/>
              </w:rPr>
            </w:pPr>
          </w:p>
        </w:tc>
        <w:tc>
          <w:tcPr>
            <w:tcW w:w="1513" w:type="dxa"/>
            <w:shd w:val="clear" w:color="auto" w:fill="auto"/>
            <w:vAlign w:val="center"/>
          </w:tcPr>
          <w:p>
            <w:pPr>
              <w:pStyle w:val="255"/>
              <w:tabs>
                <w:tab w:val="left" w:pos="235"/>
              </w:tabs>
              <w:jc w:val="center"/>
              <w:rPr>
                <w:sz w:val="24"/>
              </w:rPr>
            </w:pPr>
          </w:p>
        </w:tc>
        <w:tc>
          <w:tcPr>
            <w:tcW w:w="1125" w:type="dxa"/>
            <w:shd w:val="clear" w:color="auto" w:fill="auto"/>
            <w:vAlign w:val="center"/>
          </w:tcPr>
          <w:p>
            <w:pPr>
              <w:pStyle w:val="255"/>
              <w:jc w:val="center"/>
              <w:rPr>
                <w:rFonts w:ascii="Times New Roman"/>
                <w:sz w:val="30"/>
              </w:rPr>
            </w:pPr>
          </w:p>
        </w:tc>
        <w:tc>
          <w:tcPr>
            <w:tcW w:w="1558" w:type="dxa"/>
            <w:shd w:val="clear" w:color="auto" w:fill="auto"/>
            <w:vAlign w:val="center"/>
          </w:tcPr>
          <w:p>
            <w:pPr>
              <w:pStyle w:val="255"/>
              <w:jc w:val="center"/>
              <w:rPr>
                <w:rFonts w:ascii="Times New Roman"/>
                <w:sz w:val="30"/>
              </w:rPr>
            </w:pPr>
          </w:p>
        </w:tc>
        <w:tc>
          <w:tcPr>
            <w:tcW w:w="1498" w:type="dxa"/>
            <w:shd w:val="clear" w:color="auto" w:fill="auto"/>
            <w:vAlign w:val="center"/>
          </w:tcPr>
          <w:p>
            <w:pPr>
              <w:pStyle w:val="255"/>
              <w:jc w:val="center"/>
              <w:rPr>
                <w:rFonts w:ascii="Times New Roman"/>
                <w:sz w:val="30"/>
              </w:rPr>
            </w:pPr>
          </w:p>
        </w:tc>
        <w:tc>
          <w:tcPr>
            <w:tcW w:w="1564" w:type="dxa"/>
            <w:shd w:val="clear" w:color="auto" w:fill="auto"/>
            <w:vAlign w:val="center"/>
          </w:tcPr>
          <w:p>
            <w:pPr>
              <w:pStyle w:val="255"/>
              <w:jc w:val="center"/>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shd w:val="clear" w:color="auto" w:fill="auto"/>
            <w:vAlign w:val="center"/>
          </w:tcPr>
          <w:p>
            <w:pPr>
              <w:pStyle w:val="255"/>
              <w:ind w:right="57" w:rightChars="27"/>
              <w:jc w:val="right"/>
              <w:rPr>
                <w:sz w:val="24"/>
                <w:lang w:eastAsia="zh-CN"/>
              </w:rPr>
            </w:pPr>
            <w:r>
              <w:rPr>
                <w:rFonts w:hint="eastAsia"/>
                <w:sz w:val="24"/>
                <w:lang w:eastAsia="zh-CN"/>
              </w:rPr>
              <w:t>合计：</w:t>
            </w:r>
          </w:p>
        </w:tc>
        <w:tc>
          <w:tcPr>
            <w:tcW w:w="1498" w:type="dxa"/>
            <w:shd w:val="clear" w:color="auto" w:fill="auto"/>
            <w:vAlign w:val="center"/>
          </w:tcPr>
          <w:p>
            <w:pPr>
              <w:pStyle w:val="255"/>
              <w:jc w:val="center"/>
              <w:rPr>
                <w:rFonts w:ascii="Times New Roman"/>
                <w:sz w:val="30"/>
              </w:rPr>
            </w:pPr>
          </w:p>
        </w:tc>
        <w:tc>
          <w:tcPr>
            <w:tcW w:w="1564" w:type="dxa"/>
            <w:shd w:val="clear" w:color="auto" w:fill="auto"/>
            <w:vAlign w:val="center"/>
          </w:tcPr>
          <w:p>
            <w:pPr>
              <w:pStyle w:val="255"/>
              <w:jc w:val="center"/>
              <w:rPr>
                <w:rFonts w:ascii="Times New Roman"/>
                <w:sz w:val="30"/>
              </w:rPr>
            </w:pPr>
          </w:p>
        </w:tc>
      </w:tr>
    </w:tbl>
    <w:p>
      <w:pPr>
        <w:adjustRightInd w:val="0"/>
        <w:snapToGrid w:val="0"/>
        <w:spacing w:line="360" w:lineRule="auto"/>
        <w:ind w:firstLine="480" w:firstLineChars="200"/>
        <w:jc w:val="left"/>
        <w:rPr>
          <w:sz w:val="24"/>
        </w:rPr>
      </w:pPr>
    </w:p>
    <w:p>
      <w:pPr>
        <w:adjustRightInd w:val="0"/>
        <w:snapToGrid w:val="0"/>
        <w:spacing w:line="360" w:lineRule="auto"/>
        <w:jc w:val="left"/>
        <w:rPr>
          <w:sz w:val="24"/>
        </w:rPr>
      </w:pPr>
    </w:p>
    <w:p>
      <w:pPr>
        <w:autoSpaceDE w:val="0"/>
        <w:autoSpaceDN w:val="0"/>
        <w:adjustRightInd w:val="0"/>
        <w:snapToGrid w:val="0"/>
        <w:spacing w:before="25" w:after="25" w:line="360" w:lineRule="auto"/>
        <w:jc w:val="right"/>
        <w:rPr>
          <w:color w:val="000000"/>
          <w:sz w:val="24"/>
          <w:lang w:val="zh-CN"/>
        </w:rPr>
      </w:pPr>
      <w:r>
        <w:rPr>
          <w:rFonts w:hint="eastAsia"/>
          <w:color w:val="000000"/>
          <w:sz w:val="24"/>
        </w:rPr>
        <w:t>供应商</w:t>
      </w:r>
      <w:r>
        <w:rPr>
          <w:color w:val="000000"/>
          <w:sz w:val="24"/>
        </w:rPr>
        <w:t>名称（加盖公章）</w:t>
      </w:r>
      <w:r>
        <w:rPr>
          <w:color w:val="000000"/>
          <w:sz w:val="24"/>
          <w:lang w:val="zh-CN"/>
        </w:rPr>
        <w:t>：____________</w:t>
      </w:r>
    </w:p>
    <w:p>
      <w:pPr>
        <w:spacing w:line="360" w:lineRule="auto"/>
        <w:ind w:right="-57" w:firstLine="480"/>
        <w:jc w:val="right"/>
        <w:rPr>
          <w:color w:val="000000"/>
          <w:sz w:val="24"/>
        </w:rPr>
      </w:pPr>
      <w:r>
        <w:rPr>
          <w:color w:val="000000"/>
          <w:sz w:val="24"/>
          <w:szCs w:val="20"/>
        </w:rPr>
        <w:t>日期：_____年______月______日</w:t>
      </w:r>
    </w:p>
    <w:p>
      <w:pPr>
        <w:adjustRightInd w:val="0"/>
        <w:snapToGrid w:val="0"/>
        <w:spacing w:line="360" w:lineRule="auto"/>
        <w:jc w:val="left"/>
        <w:rPr>
          <w:sz w:val="24"/>
        </w:rPr>
      </w:pPr>
    </w:p>
    <w:p>
      <w:pPr>
        <w:adjustRightInd w:val="0"/>
        <w:snapToGrid w:val="0"/>
        <w:spacing w:line="360" w:lineRule="auto"/>
        <w:jc w:val="left"/>
        <w:rPr>
          <w:sz w:val="24"/>
        </w:rPr>
      </w:pPr>
      <w:r>
        <w:rPr>
          <w:sz w:val="24"/>
        </w:rPr>
        <w:t>说明：</w:t>
      </w:r>
    </w:p>
    <w:p>
      <w:pPr>
        <w:adjustRightInd w:val="0"/>
        <w:snapToGrid w:val="0"/>
        <w:spacing w:line="360" w:lineRule="auto"/>
        <w:jc w:val="left"/>
        <w:rPr>
          <w:sz w:val="24"/>
        </w:rPr>
      </w:pPr>
      <w:r>
        <w:rPr>
          <w:sz w:val="24"/>
        </w:rPr>
        <w:t>（1）本表仅在</w:t>
      </w:r>
      <w:r>
        <w:rPr>
          <w:rFonts w:hint="eastAsia"/>
          <w:sz w:val="24"/>
        </w:rPr>
        <w:t>供应商</w:t>
      </w:r>
      <w:r>
        <w:rPr>
          <w:sz w:val="24"/>
        </w:rPr>
        <w:t>“为落实政府采购政策”而向中小企业分包时填写，非因“为落实政府采购政策”而进行的分包请按照《</w:t>
      </w:r>
      <w:r>
        <w:rPr>
          <w:color w:val="000000"/>
          <w:sz w:val="24"/>
          <w:szCs w:val="20"/>
        </w:rPr>
        <w:t>拟分包情况说明（类型二）</w:t>
      </w:r>
      <w:r>
        <w:rPr>
          <w:sz w:val="24"/>
        </w:rPr>
        <w:t>》要求填写。</w:t>
      </w:r>
    </w:p>
    <w:p>
      <w:pPr>
        <w:adjustRightInd w:val="0"/>
        <w:snapToGrid w:val="0"/>
        <w:spacing w:line="360" w:lineRule="auto"/>
        <w:jc w:val="left"/>
        <w:rPr>
          <w:sz w:val="24"/>
        </w:rPr>
      </w:pPr>
      <w:r>
        <w:rPr>
          <w:sz w:val="24"/>
        </w:rPr>
        <w:t>（2）如本</w:t>
      </w:r>
      <w:r>
        <w:rPr>
          <w:rFonts w:hint="eastAsia"/>
          <w:sz w:val="24"/>
        </w:rPr>
        <w:t>比选文件</w:t>
      </w:r>
      <w:r>
        <w:rPr>
          <w:sz w:val="24"/>
        </w:rPr>
        <w:t>《</w:t>
      </w:r>
      <w:r>
        <w:rPr>
          <w:rFonts w:hint="eastAsia"/>
          <w:sz w:val="24"/>
        </w:rPr>
        <w:t>供应商</w:t>
      </w:r>
      <w:r>
        <w:rPr>
          <w:sz w:val="24"/>
        </w:rPr>
        <w:t>须知资料表》载明本项目分包承担主体应具备的相应资质条件，则</w:t>
      </w:r>
      <w:r>
        <w:rPr>
          <w:rFonts w:hint="eastAsia"/>
          <w:sz w:val="24"/>
        </w:rPr>
        <w:t>供应商</w:t>
      </w:r>
      <w:r>
        <w:rPr>
          <w:sz w:val="24"/>
        </w:rPr>
        <w:t>须在本表中列明分包承担主体的资质等级，并后附资质证书电子件，否则</w:t>
      </w:r>
      <w:r>
        <w:rPr>
          <w:rFonts w:hint="eastAsia"/>
          <w:b/>
          <w:sz w:val="24"/>
        </w:rPr>
        <w:t>响应</w:t>
      </w:r>
      <w:r>
        <w:rPr>
          <w:b/>
          <w:sz w:val="24"/>
        </w:rPr>
        <w:t>无效</w:t>
      </w:r>
      <w:r>
        <w:rPr>
          <w:sz w:val="24"/>
        </w:rPr>
        <w:t>。</w:t>
      </w:r>
    </w:p>
    <w:p>
      <w:pPr>
        <w:adjustRightInd w:val="0"/>
        <w:snapToGrid w:val="0"/>
        <w:spacing w:line="360" w:lineRule="auto"/>
        <w:jc w:val="left"/>
        <w:rPr>
          <w:color w:val="000000"/>
          <w:sz w:val="30"/>
          <w:szCs w:val="30"/>
        </w:rPr>
      </w:pPr>
      <w:r>
        <w:rPr>
          <w:sz w:val="24"/>
        </w:rPr>
        <w:t>（3）</w:t>
      </w:r>
      <w:r>
        <w:rPr>
          <w:rFonts w:hint="eastAsia"/>
          <w:sz w:val="24"/>
        </w:rPr>
        <w:t>供应商</w:t>
      </w:r>
      <w:r>
        <w:rPr>
          <w:sz w:val="24"/>
        </w:rPr>
        <w:t>与上述拟分包承担主体签署的《分包意向协议》后附。</w:t>
      </w:r>
    </w:p>
    <w:p>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t>附：分包意向协议（实质性格式）</w:t>
      </w:r>
    </w:p>
    <w:p>
      <w:pPr>
        <w:adjustRightInd w:val="0"/>
        <w:snapToGrid w:val="0"/>
        <w:spacing w:line="360" w:lineRule="auto"/>
        <w:ind w:firstLine="480" w:firstLineChars="200"/>
        <w:jc w:val="left"/>
        <w:rPr>
          <w:sz w:val="24"/>
        </w:rPr>
      </w:pPr>
      <w:r>
        <w:rPr>
          <w:sz w:val="24"/>
        </w:rPr>
        <w:t>甲方（</w:t>
      </w:r>
      <w:r>
        <w:rPr>
          <w:rFonts w:hint="eastAsia"/>
          <w:sz w:val="24"/>
        </w:rPr>
        <w:t>供应商</w:t>
      </w:r>
      <w:r>
        <w:rPr>
          <w:sz w:val="24"/>
        </w:rPr>
        <w:t>）：________</w:t>
      </w:r>
    </w:p>
    <w:p>
      <w:pPr>
        <w:adjustRightInd w:val="0"/>
        <w:snapToGrid w:val="0"/>
        <w:spacing w:line="360" w:lineRule="auto"/>
        <w:ind w:firstLine="480" w:firstLineChars="200"/>
        <w:jc w:val="left"/>
        <w:rPr>
          <w:sz w:val="24"/>
        </w:rPr>
      </w:pPr>
      <w:r>
        <w:rPr>
          <w:sz w:val="24"/>
        </w:rPr>
        <w:t>乙方（拟分包单位）：________</w:t>
      </w:r>
    </w:p>
    <w:p>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pPr>
        <w:adjustRightInd w:val="0"/>
        <w:snapToGrid w:val="0"/>
        <w:spacing w:line="360" w:lineRule="auto"/>
        <w:ind w:firstLine="480" w:firstLineChars="200"/>
        <w:jc w:val="left"/>
        <w:rPr>
          <w:sz w:val="24"/>
        </w:rPr>
      </w:pPr>
      <w:r>
        <w:rPr>
          <w:sz w:val="24"/>
        </w:rPr>
        <w:t>1.分包内容：_____。</w:t>
      </w:r>
    </w:p>
    <w:p>
      <w:pPr>
        <w:adjustRightInd w:val="0"/>
        <w:snapToGrid w:val="0"/>
        <w:spacing w:line="360" w:lineRule="auto"/>
        <w:ind w:firstLine="480" w:firstLineChars="200"/>
        <w:jc w:val="left"/>
        <w:rPr>
          <w:sz w:val="24"/>
        </w:rPr>
      </w:pPr>
      <w:r>
        <w:rPr>
          <w:sz w:val="24"/>
        </w:rPr>
        <w:t>2.分包金额：_____，该金额占该采购包预算总金额的比例为___%。</w:t>
      </w:r>
    </w:p>
    <w:p>
      <w:pPr>
        <w:adjustRightInd w:val="0"/>
        <w:snapToGrid w:val="0"/>
        <w:spacing w:line="360" w:lineRule="auto"/>
        <w:ind w:firstLine="480" w:firstLineChars="200"/>
        <w:jc w:val="left"/>
        <w:rPr>
          <w:bCs/>
          <w:color w:val="000000"/>
          <w:sz w:val="24"/>
        </w:rPr>
      </w:pPr>
      <w:r>
        <w:rPr>
          <w:sz w:val="24"/>
        </w:rPr>
        <w:t>乙方承诺将在上述情况下与甲方签订分包合同。</w:t>
      </w:r>
    </w:p>
    <w:p>
      <w:pPr>
        <w:adjustRightInd w:val="0"/>
        <w:snapToGrid w:val="0"/>
        <w:spacing w:line="360" w:lineRule="auto"/>
        <w:ind w:firstLine="480" w:firstLineChars="200"/>
        <w:jc w:val="left"/>
        <w:rPr>
          <w:sz w:val="24"/>
        </w:rPr>
      </w:pPr>
      <w:r>
        <w:rPr>
          <w:sz w:val="24"/>
        </w:rPr>
        <w:t>本协议自各方盖章之日起生效，如甲方未在该项目（采购包）</w:t>
      </w:r>
      <w:r>
        <w:rPr>
          <w:rFonts w:hint="eastAsia"/>
          <w:sz w:val="24"/>
        </w:rPr>
        <w:t>成交</w:t>
      </w:r>
      <w:r>
        <w:rPr>
          <w:sz w:val="24"/>
        </w:rPr>
        <w:t>，本协议自动终止。</w:t>
      </w:r>
    </w:p>
    <w:p>
      <w:pPr>
        <w:spacing w:line="360" w:lineRule="auto"/>
        <w:ind w:firstLine="471"/>
        <w:rPr>
          <w:b/>
          <w:color w:val="000000"/>
          <w:sz w:val="24"/>
        </w:rPr>
      </w:pPr>
    </w:p>
    <w:p>
      <w:pPr>
        <w:spacing w:line="360" w:lineRule="auto"/>
        <w:ind w:firstLine="471"/>
        <w:rPr>
          <w:b/>
          <w:color w:val="000000"/>
          <w:sz w:val="24"/>
        </w:rPr>
      </w:pPr>
      <w:r>
        <w:rPr>
          <w:color w:val="000000"/>
          <w:sz w:val="24"/>
        </w:rPr>
        <w:t>甲方（盖章）：_________                 乙方（盖章）：_________</w:t>
      </w:r>
    </w:p>
    <w:p>
      <w:pPr>
        <w:spacing w:line="360" w:lineRule="auto"/>
        <w:ind w:left="480"/>
        <w:jc w:val="right"/>
        <w:rPr>
          <w:color w:val="000000"/>
          <w:sz w:val="24"/>
        </w:rPr>
      </w:pPr>
    </w:p>
    <w:p>
      <w:pPr>
        <w:wordWrap w:val="0"/>
        <w:spacing w:line="360" w:lineRule="auto"/>
        <w:ind w:left="480"/>
        <w:jc w:val="right"/>
        <w:rPr>
          <w:b/>
          <w:color w:val="000000"/>
          <w:sz w:val="24"/>
        </w:rPr>
      </w:pPr>
      <w:r>
        <w:rPr>
          <w:color w:val="000000"/>
          <w:sz w:val="24"/>
          <w:szCs w:val="20"/>
        </w:rPr>
        <w:t xml:space="preserve">日期：_____年______月______日   </w:t>
      </w:r>
    </w:p>
    <w:p>
      <w:pPr>
        <w:tabs>
          <w:tab w:val="left" w:pos="8280"/>
        </w:tabs>
        <w:spacing w:line="360" w:lineRule="auto"/>
        <w:ind w:firstLine="480"/>
        <w:rPr>
          <w:color w:val="000000"/>
          <w:sz w:val="24"/>
        </w:rPr>
      </w:pPr>
    </w:p>
    <w:p>
      <w:pPr>
        <w:tabs>
          <w:tab w:val="left" w:pos="8280"/>
        </w:tabs>
        <w:spacing w:line="360" w:lineRule="auto"/>
        <w:rPr>
          <w:color w:val="000000"/>
          <w:sz w:val="24"/>
        </w:rPr>
        <w:sectPr>
          <w:headerReference r:id="rId11" w:type="first"/>
          <w:footerReference r:id="rId13" w:type="first"/>
          <w:headerReference r:id="rId9" w:type="default"/>
          <w:headerReference r:id="rId10" w:type="even"/>
          <w:footerReference r:id="rId12" w:type="even"/>
          <w:pgSz w:w="11907" w:h="16840"/>
          <w:pgMar w:top="1418" w:right="1134" w:bottom="1418" w:left="1701" w:header="851" w:footer="851" w:gutter="0"/>
          <w:cols w:space="720" w:num="1"/>
          <w:docGrid w:linePitch="462" w:charSpace="0"/>
        </w:sectPr>
      </w:pPr>
      <w:r>
        <w:rPr>
          <w:color w:val="000000"/>
          <w:sz w:val="24"/>
        </w:rPr>
        <w:t>说明：</w:t>
      </w:r>
      <w:r>
        <w:rPr>
          <w:rFonts w:hint="eastAsia"/>
          <w:color w:val="000000"/>
          <w:sz w:val="24"/>
        </w:rPr>
        <w:t>供应商</w:t>
      </w:r>
      <w:r>
        <w:rPr>
          <w:color w:val="000000"/>
          <w:sz w:val="24"/>
        </w:rPr>
        <w:t>须与所有拟分包单位分别签订《分包意向协议》，每单位签订一份，并在</w:t>
      </w:r>
      <w:r>
        <w:rPr>
          <w:rFonts w:hint="eastAsia"/>
          <w:color w:val="000000"/>
          <w:sz w:val="24"/>
        </w:rPr>
        <w:t>响应文件</w:t>
      </w:r>
      <w:r>
        <w:rPr>
          <w:color w:val="000000"/>
          <w:sz w:val="24"/>
        </w:rPr>
        <w:t>中提交全部协议原件的电子件，否则</w:t>
      </w:r>
      <w:r>
        <w:rPr>
          <w:rFonts w:hint="eastAsia"/>
          <w:b/>
          <w:color w:val="000000"/>
          <w:sz w:val="24"/>
        </w:rPr>
        <w:t>响应</w:t>
      </w:r>
      <w:r>
        <w:rPr>
          <w:b/>
          <w:color w:val="000000"/>
          <w:sz w:val="24"/>
        </w:rPr>
        <w:t>无效</w:t>
      </w:r>
      <w:r>
        <w:rPr>
          <w:color w:val="000000"/>
          <w:sz w:val="24"/>
        </w:rPr>
        <w:t>。</w:t>
      </w:r>
    </w:p>
    <w:p>
      <w:pPr>
        <w:spacing w:line="360" w:lineRule="auto"/>
        <w:outlineLvl w:val="2"/>
        <w:rPr>
          <w:color w:val="000000"/>
          <w:sz w:val="24"/>
          <w:szCs w:val="20"/>
        </w:rPr>
      </w:pPr>
      <w:r>
        <w:rPr>
          <w:color w:val="000000"/>
          <w:sz w:val="24"/>
          <w:szCs w:val="20"/>
        </w:rPr>
        <w:t xml:space="preserve">2-3 </w:t>
      </w:r>
      <w:r>
        <w:rPr>
          <w:sz w:val="24"/>
        </w:rPr>
        <w:t>其它落实政府采购政策的资格要求</w:t>
      </w:r>
      <w:r>
        <w:rPr>
          <w:color w:val="000000"/>
          <w:sz w:val="24"/>
          <w:szCs w:val="20"/>
        </w:rPr>
        <w:t>（如有）</w:t>
      </w:r>
    </w:p>
    <w:p>
      <w:pPr>
        <w:widowControl/>
        <w:jc w:val="left"/>
        <w:rPr>
          <w:sz w:val="24"/>
        </w:rPr>
      </w:pPr>
    </w:p>
    <w:p>
      <w:pPr>
        <w:widowControl/>
        <w:jc w:val="left"/>
        <w:rPr>
          <w:sz w:val="24"/>
        </w:rPr>
      </w:pPr>
    </w:p>
    <w:p>
      <w:pPr>
        <w:rPr>
          <w:color w:val="000000"/>
          <w:sz w:val="24"/>
          <w:szCs w:val="20"/>
        </w:rPr>
      </w:pPr>
      <w:r>
        <w:rPr>
          <w:color w:val="000000"/>
          <w:sz w:val="24"/>
          <w:szCs w:val="20"/>
        </w:rPr>
        <w:br w:type="page"/>
      </w:r>
    </w:p>
    <w:p>
      <w:pPr>
        <w:spacing w:line="360" w:lineRule="auto"/>
        <w:outlineLvl w:val="2"/>
        <w:rPr>
          <w:sz w:val="24"/>
        </w:rPr>
      </w:pPr>
      <w:r>
        <w:rPr>
          <w:color w:val="000000"/>
          <w:sz w:val="24"/>
          <w:szCs w:val="20"/>
        </w:rPr>
        <w:t xml:space="preserve">3 </w:t>
      </w:r>
      <w:r>
        <w:rPr>
          <w:sz w:val="24"/>
        </w:rPr>
        <w:t>本项目的特定资格要求</w:t>
      </w:r>
      <w:r>
        <w:rPr>
          <w:color w:val="000000"/>
          <w:sz w:val="24"/>
          <w:szCs w:val="20"/>
        </w:rPr>
        <w:t>（如有）</w:t>
      </w:r>
    </w:p>
    <w:p>
      <w:pPr>
        <w:spacing w:line="360" w:lineRule="auto"/>
        <w:outlineLvl w:val="2"/>
        <w:rPr>
          <w:color w:val="000000"/>
          <w:sz w:val="24"/>
          <w:szCs w:val="20"/>
        </w:rPr>
      </w:pPr>
      <w:r>
        <w:rPr>
          <w:color w:val="000000"/>
          <w:sz w:val="24"/>
          <w:szCs w:val="20"/>
        </w:rPr>
        <w:t>3-1联合协议（如有）（实质性格式）</w:t>
      </w:r>
      <w:r>
        <w:rPr>
          <w:b/>
          <w:color w:val="000000"/>
          <w:sz w:val="24"/>
          <w:szCs w:val="20"/>
        </w:rPr>
        <w:t>（本项目不涉及）</w:t>
      </w:r>
    </w:p>
    <w:p>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pPr>
        <w:spacing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w:t>
      </w:r>
      <w:r>
        <w:rPr>
          <w:rFonts w:hint="eastAsia"/>
          <w:bCs/>
          <w:color w:val="000000"/>
          <w:sz w:val="24"/>
        </w:rPr>
        <w:t>响应</w:t>
      </w:r>
      <w:r>
        <w:rPr>
          <w:bCs/>
          <w:color w:val="000000"/>
          <w:sz w:val="24"/>
        </w:rPr>
        <w:t>事宜，经各方充分协商一致，达成如下协议：</w:t>
      </w:r>
    </w:p>
    <w:p>
      <w:pPr>
        <w:numPr>
          <w:ilvl w:val="0"/>
          <w:numId w:val="15"/>
        </w:numPr>
        <w:spacing w:line="360" w:lineRule="auto"/>
        <w:rPr>
          <w:bCs/>
          <w:color w:val="000000"/>
          <w:sz w:val="24"/>
        </w:rPr>
      </w:pPr>
      <w:r>
        <w:rPr>
          <w:bCs/>
          <w:color w:val="000000"/>
          <w:sz w:val="24"/>
        </w:rPr>
        <w:t>由_________牵头，_________、__________参加，组成联合体共同进行招标项目的</w:t>
      </w:r>
      <w:r>
        <w:rPr>
          <w:rFonts w:hint="eastAsia"/>
          <w:bCs/>
          <w:color w:val="000000"/>
          <w:sz w:val="24"/>
        </w:rPr>
        <w:t>响应</w:t>
      </w:r>
      <w:r>
        <w:rPr>
          <w:bCs/>
          <w:color w:val="000000"/>
          <w:sz w:val="24"/>
        </w:rPr>
        <w:t>工作。</w:t>
      </w:r>
    </w:p>
    <w:p>
      <w:pPr>
        <w:numPr>
          <w:ilvl w:val="0"/>
          <w:numId w:val="15"/>
        </w:numPr>
        <w:spacing w:line="360" w:lineRule="auto"/>
        <w:rPr>
          <w:bCs/>
          <w:color w:val="000000"/>
          <w:sz w:val="24"/>
        </w:rPr>
      </w:pPr>
      <w:r>
        <w:rPr>
          <w:bCs/>
          <w:color w:val="000000"/>
          <w:sz w:val="24"/>
        </w:rPr>
        <w:t>______为本次</w:t>
      </w:r>
      <w:r>
        <w:rPr>
          <w:rFonts w:hint="eastAsia"/>
          <w:bCs/>
          <w:color w:val="000000"/>
          <w:sz w:val="24"/>
        </w:rPr>
        <w:t>响应</w:t>
      </w:r>
      <w:r>
        <w:rPr>
          <w:bCs/>
          <w:color w:val="000000"/>
          <w:sz w:val="24"/>
        </w:rPr>
        <w:t>的牵头人，联合体以牵头人的名义参加</w:t>
      </w:r>
      <w:r>
        <w:rPr>
          <w:rFonts w:hint="eastAsia"/>
          <w:bCs/>
          <w:color w:val="000000"/>
          <w:sz w:val="24"/>
        </w:rPr>
        <w:t>响应</w:t>
      </w:r>
      <w:r>
        <w:rPr>
          <w:bCs/>
          <w:color w:val="000000"/>
          <w:sz w:val="24"/>
        </w:rPr>
        <w:t>，联合体</w:t>
      </w:r>
      <w:r>
        <w:rPr>
          <w:rFonts w:hint="eastAsia"/>
          <w:bCs/>
          <w:color w:val="000000"/>
          <w:sz w:val="24"/>
        </w:rPr>
        <w:t>成交</w:t>
      </w:r>
      <w:r>
        <w:rPr>
          <w:bCs/>
          <w:color w:val="000000"/>
          <w:sz w:val="24"/>
        </w:rPr>
        <w:t>后，联合体各方共同与采购人签订合同，就</w:t>
      </w:r>
      <w:r>
        <w:rPr>
          <w:rFonts w:hint="eastAsia"/>
          <w:bCs/>
          <w:color w:val="000000"/>
          <w:sz w:val="24"/>
        </w:rPr>
        <w:t>采购合同约定的事项</w:t>
      </w:r>
      <w:r>
        <w:rPr>
          <w:bCs/>
          <w:color w:val="000000"/>
          <w:sz w:val="24"/>
        </w:rPr>
        <w:t>对采购人承担连带责任。</w:t>
      </w:r>
    </w:p>
    <w:p>
      <w:pPr>
        <w:numPr>
          <w:ilvl w:val="0"/>
          <w:numId w:val="15"/>
        </w:numPr>
        <w:spacing w:line="360" w:lineRule="auto"/>
        <w:rPr>
          <w:bCs/>
          <w:color w:val="000000"/>
          <w:sz w:val="24"/>
        </w:rPr>
      </w:pPr>
      <w:r>
        <w:rPr>
          <w:bCs/>
          <w:color w:val="000000"/>
          <w:sz w:val="24"/>
        </w:rPr>
        <w:t>联合体各方均同意由牵头人代表其他联合体成员单位按</w:t>
      </w:r>
      <w:r>
        <w:rPr>
          <w:rFonts w:hint="eastAsia"/>
          <w:bCs/>
          <w:color w:val="000000"/>
          <w:sz w:val="24"/>
        </w:rPr>
        <w:t>比选文件</w:t>
      </w:r>
      <w:r>
        <w:rPr>
          <w:bCs/>
          <w:color w:val="000000"/>
          <w:sz w:val="24"/>
        </w:rPr>
        <w:t>要求出具《授权委托书》。</w:t>
      </w:r>
    </w:p>
    <w:p>
      <w:pPr>
        <w:numPr>
          <w:ilvl w:val="0"/>
          <w:numId w:val="15"/>
        </w:numPr>
        <w:spacing w:line="360" w:lineRule="auto"/>
        <w:rPr>
          <w:bCs/>
          <w:color w:val="000000"/>
          <w:sz w:val="24"/>
        </w:rPr>
      </w:pPr>
      <w:r>
        <w:rPr>
          <w:bCs/>
          <w:color w:val="000000"/>
          <w:sz w:val="24"/>
        </w:rPr>
        <w:t>牵头人为项目的总负责单位；组织各参加方进行项目实施工作。</w:t>
      </w:r>
    </w:p>
    <w:p>
      <w:pPr>
        <w:numPr>
          <w:ilvl w:val="0"/>
          <w:numId w:val="15"/>
        </w:numPr>
        <w:spacing w:line="360" w:lineRule="auto"/>
        <w:rPr>
          <w:bCs/>
          <w:color w:val="000000"/>
          <w:sz w:val="24"/>
        </w:rPr>
      </w:pPr>
      <w:r>
        <w:rPr>
          <w:bCs/>
          <w:color w:val="000000"/>
          <w:sz w:val="24"/>
        </w:rPr>
        <w:t>______负责_____，具体工作范围、内容以</w:t>
      </w:r>
      <w:r>
        <w:rPr>
          <w:rFonts w:hint="eastAsia"/>
          <w:bCs/>
          <w:color w:val="000000"/>
          <w:sz w:val="24"/>
        </w:rPr>
        <w:t>响应文件</w:t>
      </w:r>
      <w:r>
        <w:rPr>
          <w:bCs/>
          <w:color w:val="000000"/>
          <w:sz w:val="24"/>
        </w:rPr>
        <w:t>及合同为准。</w:t>
      </w:r>
    </w:p>
    <w:p>
      <w:pPr>
        <w:numPr>
          <w:ilvl w:val="0"/>
          <w:numId w:val="15"/>
        </w:numPr>
        <w:spacing w:line="360" w:lineRule="auto"/>
        <w:rPr>
          <w:bCs/>
          <w:color w:val="000000"/>
          <w:sz w:val="24"/>
        </w:rPr>
      </w:pPr>
      <w:r>
        <w:rPr>
          <w:bCs/>
          <w:color w:val="000000"/>
          <w:sz w:val="24"/>
        </w:rPr>
        <w:t>______负责_____，具体工作范围、内容以</w:t>
      </w:r>
      <w:r>
        <w:rPr>
          <w:rFonts w:hint="eastAsia"/>
          <w:bCs/>
          <w:color w:val="000000"/>
          <w:sz w:val="24"/>
        </w:rPr>
        <w:t>响应文件</w:t>
      </w:r>
      <w:r>
        <w:rPr>
          <w:bCs/>
          <w:color w:val="000000"/>
          <w:sz w:val="24"/>
        </w:rPr>
        <w:t>及合同为准。</w:t>
      </w:r>
    </w:p>
    <w:p>
      <w:pPr>
        <w:numPr>
          <w:ilvl w:val="0"/>
          <w:numId w:val="15"/>
        </w:numPr>
        <w:spacing w:line="360" w:lineRule="auto"/>
        <w:rPr>
          <w:bCs/>
          <w:color w:val="000000"/>
          <w:sz w:val="24"/>
        </w:rPr>
      </w:pPr>
      <w:r>
        <w:rPr>
          <w:bCs/>
          <w:color w:val="000000"/>
          <w:sz w:val="24"/>
        </w:rPr>
        <w:t>______负责_____（如有），具体工作范围、内容以</w:t>
      </w:r>
      <w:r>
        <w:rPr>
          <w:rFonts w:hint="eastAsia"/>
          <w:bCs/>
          <w:color w:val="000000"/>
          <w:sz w:val="24"/>
        </w:rPr>
        <w:t>响应文件</w:t>
      </w:r>
      <w:r>
        <w:rPr>
          <w:bCs/>
          <w:color w:val="000000"/>
          <w:sz w:val="24"/>
        </w:rPr>
        <w:t>及合同为准。</w:t>
      </w:r>
    </w:p>
    <w:p>
      <w:pPr>
        <w:numPr>
          <w:ilvl w:val="0"/>
          <w:numId w:val="15"/>
        </w:numPr>
        <w:spacing w:line="360" w:lineRule="auto"/>
        <w:rPr>
          <w:sz w:val="24"/>
        </w:rPr>
      </w:pPr>
      <w:r>
        <w:rPr>
          <w:sz w:val="24"/>
        </w:rPr>
        <w:t>本项目联合协议合同总额为________元，联合体各成员按照如下比例分摊（按联合体成员分别列明）：</w:t>
      </w:r>
    </w:p>
    <w:p>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pPr>
        <w:numPr>
          <w:ilvl w:val="0"/>
          <w:numId w:val="15"/>
        </w:numPr>
        <w:tabs>
          <w:tab w:val="left" w:pos="993"/>
        </w:tabs>
        <w:spacing w:line="360" w:lineRule="auto"/>
        <w:rPr>
          <w:bCs/>
          <w:color w:val="000000"/>
          <w:sz w:val="24"/>
        </w:rPr>
      </w:pPr>
      <w:r>
        <w:rPr>
          <w:rFonts w:hint="eastAsia"/>
          <w:bCs/>
          <w:color w:val="000000"/>
          <w:sz w:val="24"/>
        </w:rPr>
        <w:t>以联合体形式参加政府采购活动的，联合体各方不得再单独参加或者与其他供应商另外组成联合体参加同一合同项下的政府采购活动</w:t>
      </w:r>
      <w:r>
        <w:rPr>
          <w:bCs/>
          <w:color w:val="000000"/>
          <w:sz w:val="24"/>
        </w:rPr>
        <w:t>。</w:t>
      </w:r>
    </w:p>
    <w:p>
      <w:pPr>
        <w:numPr>
          <w:ilvl w:val="0"/>
          <w:numId w:val="15"/>
        </w:numPr>
        <w:spacing w:line="360" w:lineRule="auto"/>
        <w:rPr>
          <w:bCs/>
          <w:color w:val="000000"/>
          <w:sz w:val="24"/>
        </w:rPr>
      </w:pPr>
      <w:r>
        <w:rPr>
          <w:bCs/>
          <w:color w:val="000000"/>
          <w:sz w:val="24"/>
        </w:rPr>
        <w:t>其他约定（如有）：_______</w:t>
      </w:r>
      <w:r>
        <w:rPr>
          <w:rFonts w:hint="eastAsia"/>
          <w:bCs/>
          <w:color w:val="000000"/>
          <w:sz w:val="24"/>
        </w:rPr>
        <w:t>。</w:t>
      </w:r>
    </w:p>
    <w:p>
      <w:pPr>
        <w:tabs>
          <w:tab w:val="left" w:pos="780"/>
        </w:tabs>
        <w:spacing w:line="360" w:lineRule="auto"/>
        <w:ind w:firstLine="480" w:firstLineChars="20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w:t>
      </w:r>
      <w:r>
        <w:rPr>
          <w:rFonts w:hint="eastAsia"/>
          <w:bCs/>
          <w:color w:val="000000"/>
          <w:sz w:val="24"/>
        </w:rPr>
        <w:t>成交</w:t>
      </w:r>
      <w:r>
        <w:rPr>
          <w:bCs/>
          <w:color w:val="000000"/>
          <w:sz w:val="24"/>
        </w:rPr>
        <w:t>，本协议自动终止。</w:t>
      </w:r>
      <w:r>
        <w:rPr>
          <w:color w:val="000000"/>
          <w:sz w:val="24"/>
        </w:rPr>
        <w:br w:type="page"/>
      </w:r>
    </w:p>
    <w:p>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pPr>
        <w:spacing w:line="360" w:lineRule="auto"/>
        <w:ind w:firstLine="471"/>
        <w:rPr>
          <w:color w:val="000000"/>
          <w:sz w:val="24"/>
        </w:rPr>
      </w:pPr>
    </w:p>
    <w:p>
      <w:pPr>
        <w:spacing w:line="360" w:lineRule="auto"/>
        <w:ind w:firstLine="471"/>
        <w:rPr>
          <w:color w:val="000000"/>
          <w:sz w:val="24"/>
        </w:rPr>
      </w:pPr>
    </w:p>
    <w:p>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pPr>
        <w:spacing w:line="360" w:lineRule="auto"/>
        <w:ind w:firstLine="471"/>
        <w:rPr>
          <w:color w:val="000000"/>
          <w:sz w:val="24"/>
        </w:rPr>
      </w:pPr>
    </w:p>
    <w:p>
      <w:pPr>
        <w:spacing w:line="360" w:lineRule="auto"/>
        <w:ind w:firstLine="471"/>
        <w:rPr>
          <w:color w:val="000000"/>
          <w:sz w:val="24"/>
        </w:rPr>
      </w:pPr>
    </w:p>
    <w:p>
      <w:pPr>
        <w:spacing w:line="360" w:lineRule="auto"/>
        <w:ind w:left="480"/>
        <w:jc w:val="right"/>
        <w:rPr>
          <w:color w:val="000000"/>
          <w:sz w:val="24"/>
        </w:rPr>
      </w:pPr>
    </w:p>
    <w:p>
      <w:pPr>
        <w:spacing w:line="360" w:lineRule="auto"/>
        <w:ind w:left="480"/>
        <w:jc w:val="right"/>
        <w:rPr>
          <w:color w:val="000000"/>
          <w:sz w:val="24"/>
        </w:rPr>
      </w:pPr>
      <w:r>
        <w:rPr>
          <w:color w:val="000000"/>
          <w:sz w:val="24"/>
          <w:szCs w:val="20"/>
        </w:rPr>
        <w:t>日期：_____年______月______日</w:t>
      </w:r>
    </w:p>
    <w:p>
      <w:pPr>
        <w:spacing w:line="360" w:lineRule="auto"/>
        <w:ind w:left="480"/>
        <w:jc w:val="right"/>
        <w:rPr>
          <w:b/>
          <w:color w:val="000000"/>
          <w:sz w:val="24"/>
        </w:rPr>
      </w:pPr>
    </w:p>
    <w:p>
      <w:pPr>
        <w:tabs>
          <w:tab w:val="left" w:pos="8280"/>
        </w:tabs>
        <w:spacing w:line="360" w:lineRule="auto"/>
        <w:ind w:firstLine="480"/>
        <w:rPr>
          <w:color w:val="000000"/>
          <w:sz w:val="24"/>
        </w:rPr>
      </w:pPr>
    </w:p>
    <w:p>
      <w:pPr>
        <w:tabs>
          <w:tab w:val="left" w:pos="8280"/>
        </w:tabs>
        <w:spacing w:line="360" w:lineRule="auto"/>
        <w:ind w:firstLine="480"/>
        <w:rPr>
          <w:color w:val="000000"/>
          <w:sz w:val="24"/>
        </w:rPr>
      </w:pPr>
    </w:p>
    <w:p>
      <w:pPr>
        <w:spacing w:line="360" w:lineRule="auto"/>
        <w:ind w:left="719" w:leftChars="228" w:hanging="240" w:hangingChars="100"/>
        <w:rPr>
          <w:sz w:val="24"/>
        </w:rPr>
      </w:pPr>
      <w:r>
        <w:rPr>
          <w:color w:val="000000"/>
          <w:sz w:val="24"/>
        </w:rPr>
        <w:t>注：联合体各方成员应在本协议上共同盖章，不得分别签署协议书。</w:t>
      </w:r>
    </w:p>
    <w:p>
      <w:pPr>
        <w:spacing w:line="360" w:lineRule="auto"/>
        <w:ind w:left="719" w:leftChars="228" w:hanging="240" w:hangingChars="100"/>
        <w:rPr>
          <w:sz w:val="24"/>
        </w:rPr>
      </w:pPr>
      <w:r>
        <w:rPr>
          <w:sz w:val="24"/>
        </w:rPr>
        <w:br w:type="page"/>
      </w:r>
    </w:p>
    <w:p>
      <w:pPr>
        <w:spacing w:line="360" w:lineRule="auto"/>
        <w:outlineLvl w:val="2"/>
        <w:rPr>
          <w:sz w:val="24"/>
          <w:szCs w:val="20"/>
        </w:rPr>
      </w:pPr>
      <w:r>
        <w:rPr>
          <w:color w:val="000000"/>
          <w:sz w:val="24"/>
          <w:szCs w:val="20"/>
        </w:rPr>
        <w:t>3-2其他</w:t>
      </w:r>
      <w:r>
        <w:rPr>
          <w:sz w:val="24"/>
          <w:szCs w:val="20"/>
        </w:rPr>
        <w:t>特定资格要求</w:t>
      </w:r>
    </w:p>
    <w:p>
      <w:pPr>
        <w:rPr>
          <w:sz w:val="24"/>
          <w:szCs w:val="20"/>
        </w:rPr>
      </w:pPr>
      <w:r>
        <w:rPr>
          <w:sz w:val="24"/>
          <w:szCs w:val="20"/>
        </w:rPr>
        <w:br w:type="page"/>
      </w:r>
    </w:p>
    <w:p>
      <w:pPr>
        <w:spacing w:line="360" w:lineRule="auto"/>
        <w:outlineLvl w:val="2"/>
        <w:rPr>
          <w:sz w:val="24"/>
          <w:szCs w:val="20"/>
        </w:rPr>
      </w:pPr>
      <w:r>
        <w:rPr>
          <w:sz w:val="24"/>
          <w:szCs w:val="20"/>
        </w:rPr>
        <w:t xml:space="preserve">4 </w:t>
      </w:r>
      <w:r>
        <w:rPr>
          <w:rFonts w:hint="eastAsia"/>
          <w:color w:val="000000"/>
          <w:sz w:val="24"/>
          <w:szCs w:val="20"/>
        </w:rPr>
        <w:t>报价保证金凭证/</w:t>
      </w:r>
      <w:r>
        <w:rPr>
          <w:color w:val="000000"/>
          <w:sz w:val="24"/>
          <w:szCs w:val="20"/>
        </w:rPr>
        <w:t>交款单据电子件</w:t>
      </w:r>
    </w:p>
    <w:p>
      <w:pPr>
        <w:spacing w:line="360" w:lineRule="auto"/>
        <w:ind w:firstLine="420" w:firstLineChars="200"/>
      </w:pPr>
      <w:r>
        <w:rPr>
          <w:rFonts w:hint="eastAsia"/>
        </w:rPr>
        <w:t>此报价保证金或其交纳凭据</w:t>
      </w:r>
      <w:r>
        <w:t>/</w:t>
      </w:r>
      <w:r>
        <w:rPr>
          <w:rFonts w:hint="eastAsia"/>
        </w:rPr>
        <w:t>证明的复印件还应密封后在开选时单独递交以供开选时唱标用。</w:t>
      </w:r>
    </w:p>
    <w:p>
      <w:pPr>
        <w:spacing w:line="360" w:lineRule="auto"/>
        <w:rPr>
          <w:sz w:val="24"/>
          <w:szCs w:val="20"/>
        </w:rPr>
      </w:pPr>
    </w:p>
    <w:p>
      <w:pPr>
        <w:spacing w:line="360" w:lineRule="auto"/>
        <w:rPr>
          <w:sz w:val="24"/>
          <w:szCs w:val="20"/>
        </w:rPr>
      </w:pPr>
    </w:p>
    <w:p>
      <w:pPr>
        <w:rPr>
          <w:sz w:val="24"/>
          <w:szCs w:val="20"/>
        </w:rPr>
      </w:pPr>
      <w:r>
        <w:rPr>
          <w:sz w:val="24"/>
          <w:szCs w:val="20"/>
        </w:rPr>
        <w:br w:type="page"/>
      </w:r>
    </w:p>
    <w:p>
      <w:pPr>
        <w:spacing w:line="360" w:lineRule="auto"/>
        <w:outlineLvl w:val="2"/>
        <w:rPr>
          <w:sz w:val="24"/>
          <w:szCs w:val="20"/>
        </w:rPr>
      </w:pPr>
      <w:r>
        <w:rPr>
          <w:rFonts w:hint="eastAsia"/>
          <w:sz w:val="24"/>
          <w:szCs w:val="20"/>
        </w:rPr>
        <w:t>5 代理费承诺书（实质性格式）</w:t>
      </w:r>
    </w:p>
    <w:p>
      <w:pPr>
        <w:spacing w:line="480" w:lineRule="exact"/>
        <w:rPr>
          <w:rFonts w:ascii="宋体" w:hAnsi="宋体"/>
          <w:sz w:val="24"/>
          <w:u w:val="single"/>
        </w:rPr>
      </w:pPr>
      <w:r>
        <w:rPr>
          <w:rFonts w:hint="eastAsia" w:ascii="宋体" w:hAnsi="宋体"/>
          <w:sz w:val="24"/>
        </w:rPr>
        <w:t>致：北京明德致信咨询有限公司</w:t>
      </w:r>
    </w:p>
    <w:p>
      <w:pPr>
        <w:widowControl/>
        <w:spacing w:line="480" w:lineRule="exact"/>
        <w:ind w:firstLine="480" w:firstLineChars="200"/>
        <w:jc w:val="left"/>
        <w:rPr>
          <w:rFonts w:ascii="宋体" w:hAnsi="宋体"/>
          <w:kern w:val="0"/>
          <w:sz w:val="24"/>
        </w:rPr>
      </w:pPr>
      <w:r>
        <w:rPr>
          <w:rFonts w:hint="eastAsia" w:ascii="宋体" w:hAnsi="宋体"/>
          <w:sz w:val="24"/>
        </w:rPr>
        <w:t>我们在贵公司组织的</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项目比选中若获成交（比选文件编号：</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），我们保证在领取成交通知书时按比选文件的规定，以电汇、支票等方式，向贵公司一次性支付应该交纳的代理费用。收费标准依据比选文件</w:t>
      </w:r>
      <w:r>
        <w:rPr>
          <w:rFonts w:hint="eastAsia" w:ascii="宋体" w:hAnsi="宋体"/>
          <w:kern w:val="0"/>
          <w:sz w:val="24"/>
        </w:rPr>
        <w:t>的规定</w:t>
      </w:r>
      <w:r>
        <w:rPr>
          <w:rFonts w:hint="eastAsia" w:ascii="宋体" w:hAnsi="宋体"/>
          <w:sz w:val="24"/>
        </w:rPr>
        <w:t>。</w:t>
      </w: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ind w:firstLine="480" w:firstLineChars="200"/>
        <w:rPr>
          <w:rFonts w:ascii="宋体" w:hAnsi="宋体"/>
          <w:sz w:val="24"/>
        </w:rPr>
      </w:pPr>
      <w:r>
        <w:rPr>
          <w:rFonts w:hint="eastAsia" w:ascii="宋体" w:hAnsi="宋体"/>
          <w:sz w:val="24"/>
        </w:rPr>
        <w:t>特此承诺</w:t>
      </w: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ab/>
      </w:r>
      <w:r>
        <w:rPr>
          <w:rFonts w:hint="eastAsia" w:ascii="宋体" w:hAnsi="宋体"/>
          <w:sz w:val="24"/>
        </w:rPr>
        <w:t>承诺方法定名称：</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480" w:lineRule="exact"/>
        <w:rPr>
          <w:rFonts w:ascii="宋体" w:hAnsi="宋体"/>
          <w:sz w:val="24"/>
        </w:rPr>
      </w:pPr>
      <w:r>
        <w:rPr>
          <w:rFonts w:hint="eastAsia" w:ascii="宋体" w:hAnsi="宋体"/>
          <w:sz w:val="24"/>
        </w:rPr>
        <w:tab/>
      </w:r>
      <w:r>
        <w:rPr>
          <w:rFonts w:hint="eastAsia" w:ascii="宋体" w:hAnsi="宋体"/>
          <w:sz w:val="24"/>
        </w:rPr>
        <w:t>地址：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480" w:lineRule="exact"/>
        <w:rPr>
          <w:rFonts w:ascii="宋体" w:hAnsi="宋体"/>
          <w:sz w:val="24"/>
        </w:rPr>
      </w:pPr>
      <w:r>
        <w:rPr>
          <w:rFonts w:hint="eastAsia" w:ascii="宋体" w:hAnsi="宋体"/>
          <w:sz w:val="24"/>
        </w:rPr>
        <w:tab/>
      </w:r>
      <w:r>
        <w:rPr>
          <w:rFonts w:hint="eastAsia" w:ascii="宋体" w:hAnsi="宋体"/>
          <w:sz w:val="24"/>
        </w:rPr>
        <w:t>电话：</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480" w:lineRule="exact"/>
        <w:rPr>
          <w:rFonts w:ascii="宋体" w:hAnsi="宋体"/>
          <w:sz w:val="24"/>
        </w:rPr>
      </w:pPr>
      <w:r>
        <w:rPr>
          <w:rFonts w:hint="eastAsia" w:ascii="宋体" w:hAnsi="宋体"/>
          <w:sz w:val="24"/>
        </w:rPr>
        <w:tab/>
      </w:r>
      <w:r>
        <w:rPr>
          <w:rFonts w:hint="eastAsia" w:ascii="宋体" w:hAnsi="宋体"/>
          <w:sz w:val="24"/>
        </w:rPr>
        <w:t>邮编：</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480" w:lineRule="exact"/>
        <w:rPr>
          <w:rFonts w:ascii="宋体" w:hAnsi="宋体"/>
          <w:sz w:val="24"/>
        </w:rPr>
      </w:pPr>
      <w:r>
        <w:rPr>
          <w:rFonts w:hint="eastAsia" w:ascii="宋体" w:hAnsi="宋体"/>
          <w:sz w:val="24"/>
        </w:rPr>
        <w:tab/>
      </w:r>
      <w:r>
        <w:rPr>
          <w:rFonts w:hint="eastAsia" w:ascii="宋体" w:hAnsi="宋体"/>
          <w:sz w:val="24"/>
        </w:rPr>
        <w:t>承诺方法人授权代表签字：</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（承诺方盖章）</w:t>
      </w:r>
    </w:p>
    <w:p>
      <w:pPr>
        <w:spacing w:line="360" w:lineRule="auto"/>
        <w:rPr>
          <w:rFonts w:ascii="宋体" w:hAnsi="宋体"/>
          <w:sz w:val="24"/>
        </w:rPr>
      </w:pPr>
      <w:r>
        <w:rPr>
          <w:rFonts w:hint="eastAsia" w:ascii="宋体" w:hAnsi="宋体"/>
          <w:sz w:val="24"/>
        </w:rPr>
        <w:tab/>
      </w:r>
      <w:r>
        <w:rPr>
          <w:rFonts w:hint="eastAsia" w:ascii="宋体" w:hAnsi="宋体"/>
          <w:sz w:val="24"/>
        </w:rPr>
        <w:t>承诺日期：</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sz w:val="24"/>
          <w:szCs w:val="20"/>
        </w:rPr>
        <w:br w:type="page"/>
      </w:r>
    </w:p>
    <w:p>
      <w:pPr>
        <w:tabs>
          <w:tab w:val="left" w:pos="5580"/>
        </w:tabs>
        <w:spacing w:line="360" w:lineRule="auto"/>
        <w:rPr>
          <w:rFonts w:ascii="宋体" w:hAnsi="宋体"/>
          <w:sz w:val="24"/>
        </w:rPr>
        <w:sectPr>
          <w:pgSz w:w="11907" w:h="16840"/>
          <w:pgMar w:top="1418" w:right="1134" w:bottom="1418" w:left="1701" w:header="851" w:footer="851" w:gutter="0"/>
          <w:cols w:space="720" w:num="1"/>
          <w:docGrid w:linePitch="462" w:charSpace="0"/>
        </w:sectPr>
      </w:pPr>
    </w:p>
    <w:p>
      <w:pPr>
        <w:keepNext/>
        <w:keepLines/>
        <w:autoSpaceDE w:val="0"/>
        <w:autoSpaceDN w:val="0"/>
        <w:adjustRightInd w:val="0"/>
        <w:spacing w:before="120" w:line="300" w:lineRule="auto"/>
        <w:jc w:val="left"/>
        <w:outlineLvl w:val="1"/>
        <w:rPr>
          <w:rFonts w:ascii="宋体" w:hAnsi="宋体"/>
          <w:b/>
          <w:spacing w:val="20"/>
          <w:sz w:val="24"/>
        </w:rPr>
      </w:pPr>
      <w:r>
        <w:rPr>
          <w:rFonts w:ascii="宋体" w:hAnsi="宋体"/>
          <w:b/>
          <w:spacing w:val="20"/>
          <w:sz w:val="24"/>
        </w:rPr>
        <w:t>二、商务技术文件格式</w:t>
      </w:r>
    </w:p>
    <w:p>
      <w:pPr>
        <w:rPr>
          <w:rFonts w:ascii="宋体" w:hAnsi="宋体"/>
          <w:b/>
          <w:spacing w:val="20"/>
          <w:szCs w:val="21"/>
        </w:rPr>
      </w:pPr>
    </w:p>
    <w:p>
      <w:pPr>
        <w:rPr>
          <w:rFonts w:ascii="宋体" w:hAnsi="宋体"/>
          <w:b/>
          <w:sz w:val="24"/>
        </w:rPr>
      </w:pPr>
      <w:r>
        <w:rPr>
          <w:rFonts w:hint="eastAsia" w:ascii="宋体" w:hAnsi="宋体"/>
          <w:b/>
          <w:spacing w:val="20"/>
          <w:sz w:val="24"/>
        </w:rPr>
        <w:t>响应文件</w:t>
      </w:r>
      <w:r>
        <w:rPr>
          <w:rFonts w:ascii="宋体" w:hAnsi="宋体"/>
          <w:b/>
          <w:spacing w:val="20"/>
          <w:sz w:val="24"/>
        </w:rPr>
        <w:t>（商务技术文件）</w:t>
      </w:r>
      <w:r>
        <w:rPr>
          <w:rFonts w:ascii="宋体" w:hAnsi="宋体"/>
          <w:b/>
          <w:sz w:val="24"/>
        </w:rPr>
        <w:t>封面（非实质性格式）</w:t>
      </w:r>
    </w:p>
    <w:p>
      <w:pPr>
        <w:jc w:val="center"/>
        <w:rPr>
          <w:rFonts w:ascii="宋体" w:hAnsi="宋体"/>
          <w:szCs w:val="21"/>
        </w:rPr>
      </w:pPr>
    </w:p>
    <w:p>
      <w:pPr>
        <w:jc w:val="center"/>
        <w:rPr>
          <w:rFonts w:ascii="宋体" w:hAnsi="宋体"/>
          <w:b/>
          <w:spacing w:val="60"/>
          <w:sz w:val="84"/>
          <w:szCs w:val="84"/>
        </w:rPr>
      </w:pPr>
      <w:r>
        <w:rPr>
          <w:rFonts w:hint="eastAsia" w:ascii="宋体" w:hAnsi="宋体"/>
          <w:b/>
          <w:spacing w:val="60"/>
          <w:sz w:val="84"/>
          <w:szCs w:val="84"/>
        </w:rPr>
        <w:t>响 应</w:t>
      </w:r>
      <w:r>
        <w:rPr>
          <w:rFonts w:ascii="宋体" w:hAnsi="宋体"/>
          <w:b/>
          <w:spacing w:val="60"/>
          <w:sz w:val="84"/>
          <w:szCs w:val="84"/>
        </w:rPr>
        <w:t xml:space="preserve"> 文 件</w:t>
      </w:r>
    </w:p>
    <w:p>
      <w:pPr>
        <w:jc w:val="center"/>
        <w:rPr>
          <w:rFonts w:ascii="宋体" w:hAnsi="宋体"/>
          <w:b/>
          <w:spacing w:val="60"/>
          <w:sz w:val="84"/>
          <w:szCs w:val="84"/>
        </w:rPr>
      </w:pPr>
    </w:p>
    <w:p>
      <w:pPr>
        <w:jc w:val="center"/>
        <w:rPr>
          <w:rFonts w:ascii="宋体" w:hAnsi="宋体"/>
          <w:b/>
          <w:spacing w:val="60"/>
          <w:sz w:val="52"/>
          <w:szCs w:val="52"/>
        </w:rPr>
      </w:pPr>
      <w:r>
        <w:rPr>
          <w:rFonts w:ascii="宋体" w:hAnsi="宋体"/>
          <w:b/>
          <w:spacing w:val="60"/>
          <w:sz w:val="52"/>
          <w:szCs w:val="52"/>
        </w:rPr>
        <w:t>（商务技术文件）</w:t>
      </w:r>
    </w:p>
    <w:p>
      <w:pPr>
        <w:ind w:firstLine="542" w:firstLineChars="150"/>
        <w:rPr>
          <w:rFonts w:ascii="宋体" w:hAnsi="宋体"/>
          <w:b/>
          <w:spacing w:val="20"/>
          <w:sz w:val="32"/>
          <w:szCs w:val="32"/>
        </w:rPr>
      </w:pPr>
    </w:p>
    <w:p>
      <w:pPr>
        <w:ind w:firstLine="542" w:firstLineChars="150"/>
        <w:rPr>
          <w:rFonts w:ascii="宋体" w:hAnsi="宋体"/>
          <w:b/>
          <w:spacing w:val="20"/>
          <w:sz w:val="32"/>
          <w:szCs w:val="32"/>
        </w:rPr>
      </w:pPr>
    </w:p>
    <w:p>
      <w:pPr>
        <w:ind w:firstLine="542" w:firstLineChars="150"/>
        <w:rPr>
          <w:rFonts w:ascii="宋体" w:hAnsi="宋体"/>
          <w:b/>
          <w:spacing w:val="20"/>
          <w:sz w:val="32"/>
          <w:szCs w:val="32"/>
        </w:rPr>
      </w:pPr>
      <w:r>
        <w:rPr>
          <w:rFonts w:ascii="宋体" w:hAnsi="宋体"/>
          <w:b/>
          <w:spacing w:val="20"/>
          <w:sz w:val="32"/>
          <w:szCs w:val="32"/>
        </w:rPr>
        <w:t>项目名称:</w:t>
      </w:r>
    </w:p>
    <w:p>
      <w:pPr>
        <w:ind w:firstLine="542" w:firstLineChars="150"/>
        <w:rPr>
          <w:rFonts w:ascii="宋体" w:hAnsi="宋体"/>
          <w:b/>
          <w:spacing w:val="20"/>
          <w:sz w:val="32"/>
          <w:szCs w:val="32"/>
        </w:rPr>
      </w:pPr>
      <w:r>
        <w:rPr>
          <w:rFonts w:ascii="宋体" w:hAnsi="宋体"/>
          <w:b/>
          <w:spacing w:val="20"/>
          <w:sz w:val="32"/>
          <w:szCs w:val="32"/>
        </w:rPr>
        <w:t>项目编号/包号：</w:t>
      </w:r>
    </w:p>
    <w:p>
      <w:pPr>
        <w:ind w:firstLine="542" w:firstLineChars="150"/>
        <w:rPr>
          <w:rFonts w:ascii="宋体" w:hAnsi="宋体"/>
          <w:b/>
          <w:spacing w:val="20"/>
          <w:sz w:val="32"/>
          <w:szCs w:val="32"/>
        </w:rPr>
      </w:pPr>
    </w:p>
    <w:p>
      <w:pPr>
        <w:ind w:firstLine="542" w:firstLineChars="150"/>
        <w:rPr>
          <w:rFonts w:ascii="宋体" w:hAnsi="宋体"/>
          <w:b/>
          <w:spacing w:val="20"/>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pacing w:val="20"/>
          <w:sz w:val="32"/>
          <w:szCs w:val="32"/>
        </w:rPr>
      </w:pPr>
    </w:p>
    <w:p>
      <w:pPr>
        <w:jc w:val="center"/>
        <w:rPr>
          <w:rFonts w:ascii="宋体" w:hAnsi="宋体"/>
          <w:b/>
          <w:spacing w:val="20"/>
          <w:sz w:val="32"/>
          <w:szCs w:val="32"/>
        </w:rPr>
      </w:pPr>
    </w:p>
    <w:p>
      <w:pPr>
        <w:jc w:val="center"/>
        <w:rPr>
          <w:rFonts w:ascii="宋体" w:hAnsi="宋体"/>
          <w:b/>
          <w:spacing w:val="20"/>
          <w:sz w:val="32"/>
          <w:szCs w:val="32"/>
        </w:rPr>
      </w:pPr>
    </w:p>
    <w:p>
      <w:pPr>
        <w:spacing w:line="360" w:lineRule="auto"/>
        <w:ind w:firstLine="1445" w:firstLineChars="400"/>
        <w:jc w:val="left"/>
        <w:rPr>
          <w:rFonts w:ascii="宋体" w:hAnsi="宋体"/>
          <w:b/>
          <w:spacing w:val="20"/>
          <w:sz w:val="32"/>
          <w:szCs w:val="32"/>
        </w:rPr>
      </w:pPr>
      <w:r>
        <w:rPr>
          <w:rFonts w:hint="eastAsia" w:ascii="宋体" w:hAnsi="宋体"/>
          <w:b/>
          <w:spacing w:val="20"/>
          <w:sz w:val="32"/>
          <w:szCs w:val="32"/>
        </w:rPr>
        <w:t>供应商</w:t>
      </w:r>
      <w:r>
        <w:rPr>
          <w:rFonts w:ascii="宋体" w:hAnsi="宋体"/>
          <w:b/>
          <w:spacing w:val="20"/>
          <w:sz w:val="32"/>
          <w:szCs w:val="32"/>
        </w:rPr>
        <w:t>名称：</w:t>
      </w:r>
    </w:p>
    <w:p>
      <w:pPr>
        <w:jc w:val="center"/>
        <w:rPr>
          <w:rFonts w:ascii="宋体" w:hAnsi="宋体"/>
          <w:b/>
          <w:sz w:val="32"/>
          <w:szCs w:val="32"/>
        </w:rPr>
      </w:pPr>
    </w:p>
    <w:p>
      <w:pPr>
        <w:widowControl/>
        <w:jc w:val="left"/>
        <w:rPr>
          <w:rFonts w:ascii="宋体" w:hAnsi="宋体"/>
          <w:b/>
          <w:sz w:val="24"/>
        </w:rPr>
      </w:pPr>
      <w:r>
        <w:rPr>
          <w:rFonts w:ascii="宋体" w:hAnsi="宋体"/>
          <w:b/>
          <w:sz w:val="24"/>
        </w:rPr>
        <w:br w:type="page"/>
      </w:r>
    </w:p>
    <w:p>
      <w:pPr>
        <w:spacing w:line="360" w:lineRule="auto"/>
        <w:outlineLvl w:val="2"/>
        <w:rPr>
          <w:rFonts w:ascii="宋体" w:hAnsi="宋体"/>
          <w:color w:val="000000"/>
          <w:sz w:val="24"/>
          <w:szCs w:val="20"/>
        </w:rPr>
      </w:pPr>
      <w:bookmarkStart w:id="701" w:name="_Hlt520343392"/>
      <w:bookmarkEnd w:id="701"/>
      <w:bookmarkStart w:id="702" w:name="_Hlt520274407"/>
      <w:bookmarkEnd w:id="702"/>
      <w:bookmarkStart w:id="703" w:name="_Hlt520274121"/>
      <w:bookmarkEnd w:id="703"/>
      <w:bookmarkStart w:id="704" w:name="_Hlt520350918"/>
      <w:bookmarkEnd w:id="704"/>
      <w:bookmarkStart w:id="705" w:name="_Hlt520273711"/>
      <w:bookmarkEnd w:id="705"/>
      <w:bookmarkStart w:id="706" w:name="_Hlt520274393"/>
      <w:bookmarkEnd w:id="706"/>
      <w:bookmarkStart w:id="707" w:name="_Hlt520355504"/>
      <w:bookmarkEnd w:id="707"/>
      <w:bookmarkStart w:id="708" w:name="_Hlt520271212"/>
      <w:bookmarkEnd w:id="708"/>
      <w:bookmarkStart w:id="709" w:name="_Hlt520274065"/>
      <w:bookmarkEnd w:id="709"/>
      <w:bookmarkStart w:id="710" w:name="_Hlt520343000"/>
      <w:bookmarkEnd w:id="710"/>
      <w:bookmarkStart w:id="711" w:name="_Toc480942349"/>
      <w:bookmarkStart w:id="712" w:name="_Ref467988698"/>
      <w:bookmarkStart w:id="713" w:name="_Toc127151556"/>
      <w:bookmarkStart w:id="714" w:name="_Toc142311058"/>
      <w:bookmarkStart w:id="715" w:name="_Toc150774761"/>
      <w:bookmarkStart w:id="716" w:name="_Toc226965829"/>
      <w:bookmarkStart w:id="717" w:name="_Toc226309800"/>
      <w:bookmarkStart w:id="718" w:name="_Toc195842921"/>
      <w:bookmarkStart w:id="719" w:name="_Toc226337252"/>
      <w:bookmarkStart w:id="720" w:name="_Toc520356217"/>
      <w:bookmarkStart w:id="721" w:name="_Toc226965746"/>
      <w:bookmarkStart w:id="722" w:name="_Toc150480794"/>
      <w:r>
        <w:rPr>
          <w:rFonts w:ascii="宋体" w:hAnsi="宋体"/>
          <w:color w:val="000000"/>
          <w:sz w:val="24"/>
        </w:rPr>
        <w:t>1</w:t>
      </w:r>
      <w:r>
        <w:rPr>
          <w:rFonts w:ascii="宋体" w:hAnsi="宋体"/>
          <w:color w:val="000000"/>
          <w:sz w:val="24"/>
          <w:szCs w:val="20"/>
        </w:rPr>
        <w:t xml:space="preserve">  </w:t>
      </w:r>
      <w:bookmarkEnd w:id="711"/>
      <w:bookmarkEnd w:id="712"/>
      <w:r>
        <w:rPr>
          <w:rFonts w:hint="eastAsia" w:ascii="宋体" w:hAnsi="宋体"/>
          <w:color w:val="000000"/>
          <w:sz w:val="24"/>
        </w:rPr>
        <w:t>响应</w:t>
      </w:r>
      <w:r>
        <w:rPr>
          <w:rFonts w:ascii="宋体" w:hAnsi="宋体"/>
          <w:color w:val="000000"/>
          <w:sz w:val="24"/>
        </w:rPr>
        <w:t>书</w:t>
      </w:r>
      <w:bookmarkEnd w:id="713"/>
      <w:bookmarkEnd w:id="714"/>
      <w:bookmarkEnd w:id="715"/>
      <w:bookmarkEnd w:id="716"/>
      <w:bookmarkEnd w:id="717"/>
      <w:bookmarkEnd w:id="718"/>
      <w:bookmarkEnd w:id="719"/>
      <w:bookmarkEnd w:id="720"/>
      <w:bookmarkEnd w:id="721"/>
      <w:bookmarkEnd w:id="722"/>
      <w:r>
        <w:rPr>
          <w:rFonts w:ascii="宋体" w:hAnsi="宋体"/>
          <w:color w:val="000000"/>
          <w:sz w:val="24"/>
          <w:szCs w:val="20"/>
        </w:rPr>
        <w:t>（实质性格式）</w:t>
      </w:r>
    </w:p>
    <w:p>
      <w:pPr>
        <w:tabs>
          <w:tab w:val="left" w:pos="5580"/>
        </w:tabs>
        <w:spacing w:line="360" w:lineRule="auto"/>
        <w:rPr>
          <w:rFonts w:ascii="宋体" w:hAnsi="宋体"/>
          <w:color w:val="000000"/>
          <w:sz w:val="24"/>
        </w:rPr>
      </w:pPr>
    </w:p>
    <w:p>
      <w:pPr>
        <w:spacing w:line="360" w:lineRule="auto"/>
        <w:jc w:val="center"/>
        <w:rPr>
          <w:rFonts w:ascii="宋体" w:hAnsi="宋体"/>
          <w:b/>
          <w:color w:val="000000"/>
          <w:sz w:val="36"/>
          <w:szCs w:val="36"/>
        </w:rPr>
      </w:pPr>
      <w:r>
        <w:rPr>
          <w:rFonts w:hint="eastAsia" w:ascii="宋体" w:hAnsi="宋体"/>
          <w:b/>
          <w:color w:val="000000"/>
          <w:sz w:val="36"/>
          <w:szCs w:val="36"/>
        </w:rPr>
        <w:t>响应书</w:t>
      </w:r>
    </w:p>
    <w:p>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（采购人或采购代理机构）</w:t>
      </w:r>
    </w:p>
    <w:p>
      <w:pPr>
        <w:tabs>
          <w:tab w:val="left" w:pos="5580"/>
        </w:tabs>
        <w:spacing w:line="360" w:lineRule="auto"/>
        <w:rPr>
          <w:rFonts w:ascii="宋体" w:hAnsi="宋体"/>
          <w:color w:val="000000"/>
          <w:sz w:val="24"/>
          <w:szCs w:val="20"/>
        </w:rPr>
      </w:pPr>
    </w:p>
    <w:p>
      <w:pPr>
        <w:tabs>
          <w:tab w:val="left" w:pos="5580"/>
        </w:tabs>
        <w:spacing w:line="360" w:lineRule="auto"/>
        <w:ind w:firstLine="408"/>
        <w:rPr>
          <w:rFonts w:ascii="宋体" w:hAnsi="宋体"/>
          <w:color w:val="000000"/>
          <w:sz w:val="24"/>
          <w:szCs w:val="20"/>
        </w:rPr>
      </w:pPr>
      <w:r>
        <w:rPr>
          <w:rFonts w:ascii="宋体" w:hAnsi="宋体"/>
          <w:color w:val="000000"/>
          <w:sz w:val="24"/>
          <w:szCs w:val="20"/>
        </w:rPr>
        <w:t>我方参加你方就___________（项目名称，项目编号/包号）组织的招标活动，并对此项目进行</w:t>
      </w:r>
      <w:r>
        <w:rPr>
          <w:rFonts w:hint="eastAsia" w:ascii="宋体" w:hAnsi="宋体"/>
          <w:color w:val="000000"/>
          <w:sz w:val="24"/>
          <w:szCs w:val="20"/>
        </w:rPr>
        <w:t>响应</w:t>
      </w:r>
      <w:r>
        <w:rPr>
          <w:rFonts w:ascii="宋体" w:hAnsi="宋体"/>
          <w:color w:val="000000"/>
          <w:sz w:val="24"/>
          <w:szCs w:val="20"/>
        </w:rPr>
        <w:t>。</w:t>
      </w:r>
    </w:p>
    <w:p>
      <w:pPr>
        <w:tabs>
          <w:tab w:val="left" w:pos="5580"/>
        </w:tabs>
        <w:spacing w:line="360" w:lineRule="auto"/>
        <w:ind w:firstLine="408"/>
        <w:rPr>
          <w:rFonts w:ascii="宋体" w:hAnsi="宋体"/>
          <w:color w:val="000000"/>
          <w:sz w:val="24"/>
          <w:szCs w:val="20"/>
        </w:rPr>
      </w:pPr>
      <w:r>
        <w:rPr>
          <w:rFonts w:ascii="宋体" w:hAnsi="宋体"/>
          <w:color w:val="000000"/>
          <w:sz w:val="24"/>
          <w:szCs w:val="20"/>
        </w:rPr>
        <w:t>1. 我方</w:t>
      </w:r>
      <w:r>
        <w:rPr>
          <w:rFonts w:ascii="宋体" w:hAnsi="宋体"/>
          <w:color w:val="000000"/>
          <w:sz w:val="24"/>
        </w:rPr>
        <w:t>已详细审查全部</w:t>
      </w:r>
      <w:r>
        <w:rPr>
          <w:rFonts w:hint="eastAsia" w:ascii="宋体" w:hAnsi="宋体"/>
          <w:color w:val="000000"/>
          <w:sz w:val="24"/>
        </w:rPr>
        <w:t>比选文件</w:t>
      </w:r>
      <w:r>
        <w:rPr>
          <w:rFonts w:ascii="宋体" w:hAnsi="宋体"/>
          <w:color w:val="000000"/>
          <w:sz w:val="24"/>
          <w:szCs w:val="20"/>
        </w:rPr>
        <w:t>，自愿参与</w:t>
      </w:r>
      <w:r>
        <w:rPr>
          <w:rFonts w:hint="eastAsia" w:ascii="宋体" w:hAnsi="宋体"/>
          <w:color w:val="000000"/>
          <w:sz w:val="24"/>
          <w:szCs w:val="20"/>
        </w:rPr>
        <w:t>响应</w:t>
      </w:r>
      <w:r>
        <w:rPr>
          <w:rFonts w:ascii="宋体" w:hAnsi="宋体"/>
          <w:color w:val="000000"/>
          <w:sz w:val="24"/>
          <w:szCs w:val="20"/>
        </w:rPr>
        <w:t>并承诺如下：</w:t>
      </w:r>
    </w:p>
    <w:p>
      <w:pPr>
        <w:tabs>
          <w:tab w:val="left" w:pos="720"/>
          <w:tab w:val="left" w:pos="900"/>
        </w:tabs>
        <w:spacing w:line="360" w:lineRule="auto"/>
        <w:ind w:left="360" w:firstLine="72" w:firstLineChars="30"/>
        <w:rPr>
          <w:rFonts w:ascii="宋体" w:hAnsi="宋体"/>
          <w:color w:val="000000"/>
          <w:sz w:val="24"/>
          <w:szCs w:val="20"/>
        </w:rPr>
      </w:pPr>
      <w:r>
        <w:rPr>
          <w:rFonts w:ascii="宋体" w:hAnsi="宋体"/>
          <w:color w:val="000000"/>
          <w:sz w:val="24"/>
          <w:szCs w:val="20"/>
        </w:rPr>
        <w:t>（1）本</w:t>
      </w:r>
      <w:r>
        <w:rPr>
          <w:rFonts w:hint="eastAsia" w:ascii="宋体" w:hAnsi="宋体"/>
          <w:color w:val="000000"/>
          <w:sz w:val="24"/>
          <w:szCs w:val="20"/>
        </w:rPr>
        <w:t>报价有效期</w:t>
      </w:r>
      <w:r>
        <w:rPr>
          <w:rFonts w:ascii="宋体" w:hAnsi="宋体"/>
          <w:color w:val="000000"/>
          <w:sz w:val="24"/>
          <w:szCs w:val="20"/>
        </w:rPr>
        <w:t>为自提交</w:t>
      </w:r>
      <w:r>
        <w:rPr>
          <w:rFonts w:hint="eastAsia" w:ascii="宋体" w:hAnsi="宋体"/>
          <w:color w:val="000000"/>
          <w:sz w:val="24"/>
          <w:szCs w:val="20"/>
        </w:rPr>
        <w:t>响应文件</w:t>
      </w:r>
      <w:r>
        <w:rPr>
          <w:rFonts w:ascii="宋体" w:hAnsi="宋体"/>
          <w:color w:val="000000"/>
          <w:sz w:val="24"/>
          <w:szCs w:val="20"/>
        </w:rPr>
        <w:t>的截止之日起</w:t>
      </w:r>
      <w:r>
        <w:rPr>
          <w:rFonts w:ascii="宋体" w:hAnsi="宋体"/>
          <w:sz w:val="24"/>
        </w:rPr>
        <w:t>_____</w:t>
      </w:r>
      <w:r>
        <w:rPr>
          <w:rFonts w:ascii="宋体" w:hAnsi="宋体"/>
          <w:color w:val="000000"/>
          <w:sz w:val="24"/>
          <w:szCs w:val="20"/>
        </w:rPr>
        <w:t>个日历日。</w:t>
      </w:r>
    </w:p>
    <w:p>
      <w:pPr>
        <w:tabs>
          <w:tab w:val="left" w:pos="720"/>
          <w:tab w:val="left" w:pos="900"/>
        </w:tabs>
        <w:spacing w:line="360" w:lineRule="auto"/>
        <w:ind w:left="360" w:firstLine="72" w:firstLineChars="30"/>
        <w:rPr>
          <w:rFonts w:ascii="宋体" w:hAnsi="宋体"/>
          <w:color w:val="000000"/>
          <w:sz w:val="24"/>
          <w:szCs w:val="20"/>
        </w:rPr>
      </w:pPr>
      <w:r>
        <w:rPr>
          <w:rFonts w:ascii="宋体" w:hAnsi="宋体"/>
          <w:color w:val="000000"/>
          <w:sz w:val="24"/>
          <w:szCs w:val="20"/>
        </w:rPr>
        <w:t>（2）除合同条款及采购需求偏离表列出的偏离外，我方响应</w:t>
      </w:r>
      <w:r>
        <w:rPr>
          <w:rFonts w:hint="eastAsia" w:ascii="宋体" w:hAnsi="宋体"/>
          <w:color w:val="000000"/>
          <w:sz w:val="24"/>
          <w:szCs w:val="20"/>
        </w:rPr>
        <w:t>比选文件</w:t>
      </w:r>
      <w:r>
        <w:rPr>
          <w:rFonts w:ascii="宋体" w:hAnsi="宋体"/>
          <w:color w:val="000000"/>
          <w:sz w:val="24"/>
          <w:szCs w:val="20"/>
        </w:rPr>
        <w:t>的全部要求。</w:t>
      </w:r>
    </w:p>
    <w:p>
      <w:pPr>
        <w:tabs>
          <w:tab w:val="left" w:pos="5580"/>
        </w:tabs>
        <w:spacing w:line="360" w:lineRule="auto"/>
        <w:ind w:firstLine="420" w:firstLineChars="175"/>
        <w:rPr>
          <w:rFonts w:ascii="宋体" w:hAnsi="宋体"/>
          <w:color w:val="000000"/>
          <w:sz w:val="24"/>
          <w:szCs w:val="20"/>
        </w:rPr>
      </w:pPr>
      <w:r>
        <w:rPr>
          <w:rFonts w:ascii="宋体" w:hAnsi="宋体"/>
          <w:color w:val="000000"/>
          <w:sz w:val="24"/>
          <w:szCs w:val="20"/>
        </w:rPr>
        <w:t>（3）我方已提供的全部文件资料是真实、准确的，并对此承担一切法律后果。</w:t>
      </w:r>
    </w:p>
    <w:p>
      <w:pPr>
        <w:tabs>
          <w:tab w:val="left" w:pos="5580"/>
        </w:tabs>
        <w:spacing w:line="360" w:lineRule="auto"/>
        <w:ind w:firstLine="420" w:firstLineChars="175"/>
        <w:rPr>
          <w:rFonts w:ascii="宋体" w:hAnsi="宋体"/>
          <w:color w:val="000000"/>
          <w:sz w:val="24"/>
        </w:rPr>
      </w:pPr>
      <w:r>
        <w:rPr>
          <w:rFonts w:ascii="宋体" w:hAnsi="宋体"/>
          <w:color w:val="000000"/>
          <w:sz w:val="24"/>
          <w:szCs w:val="20"/>
        </w:rPr>
        <w:t>（4）如我方</w:t>
      </w:r>
      <w:r>
        <w:rPr>
          <w:rFonts w:hint="eastAsia" w:ascii="宋体" w:hAnsi="宋体"/>
          <w:color w:val="000000"/>
          <w:sz w:val="24"/>
          <w:szCs w:val="20"/>
        </w:rPr>
        <w:t>成交</w:t>
      </w:r>
      <w:r>
        <w:rPr>
          <w:rFonts w:ascii="宋体" w:hAnsi="宋体"/>
          <w:color w:val="000000"/>
          <w:sz w:val="24"/>
          <w:szCs w:val="20"/>
        </w:rPr>
        <w:t>，我方将在法律规定的期限内与你方签订合同，按照</w:t>
      </w:r>
      <w:r>
        <w:rPr>
          <w:rFonts w:hint="eastAsia" w:ascii="宋体" w:hAnsi="宋体"/>
          <w:color w:val="000000"/>
          <w:sz w:val="24"/>
          <w:szCs w:val="20"/>
        </w:rPr>
        <w:t>比选文件</w:t>
      </w:r>
      <w:r>
        <w:rPr>
          <w:rFonts w:ascii="宋体" w:hAnsi="宋体"/>
          <w:color w:val="000000"/>
          <w:sz w:val="24"/>
          <w:szCs w:val="20"/>
        </w:rPr>
        <w:t>要求提交履约保证金，并在合同约定的期限内完成合同规定的全部义务。</w:t>
      </w:r>
    </w:p>
    <w:p>
      <w:pPr>
        <w:spacing w:line="360" w:lineRule="auto"/>
        <w:ind w:left="420"/>
        <w:rPr>
          <w:rFonts w:ascii="宋体" w:hAnsi="宋体"/>
          <w:color w:val="000000"/>
          <w:sz w:val="24"/>
        </w:rPr>
      </w:pPr>
      <w:r>
        <w:rPr>
          <w:rFonts w:ascii="宋体" w:hAnsi="宋体"/>
          <w:color w:val="000000"/>
          <w:sz w:val="24"/>
        </w:rPr>
        <w:t>2.其他补充条款：</w:t>
      </w:r>
      <w:r>
        <w:rPr>
          <w:rFonts w:ascii="宋体" w:hAnsi="宋体"/>
          <w:color w:val="000000"/>
          <w:sz w:val="24"/>
          <w:szCs w:val="20"/>
        </w:rPr>
        <w:t>___________</w:t>
      </w:r>
      <w:r>
        <w:rPr>
          <w:rFonts w:ascii="宋体" w:hAnsi="宋体"/>
          <w:color w:val="000000"/>
          <w:sz w:val="24"/>
        </w:rPr>
        <w:t>。</w:t>
      </w:r>
    </w:p>
    <w:p>
      <w:pPr>
        <w:spacing w:line="360" w:lineRule="auto"/>
        <w:ind w:firstLine="480" w:firstLineChars="200"/>
        <w:rPr>
          <w:rFonts w:ascii="宋体" w:hAnsi="宋体"/>
          <w:color w:val="000000"/>
          <w:sz w:val="24"/>
        </w:rPr>
      </w:pPr>
      <w:r>
        <w:rPr>
          <w:rFonts w:ascii="宋体" w:hAnsi="宋体"/>
          <w:color w:val="000000"/>
          <w:sz w:val="24"/>
        </w:rPr>
        <w:t>与本</w:t>
      </w:r>
      <w:r>
        <w:rPr>
          <w:rFonts w:hint="eastAsia" w:ascii="宋体" w:hAnsi="宋体"/>
          <w:color w:val="000000"/>
          <w:sz w:val="24"/>
        </w:rPr>
        <w:t>响应</w:t>
      </w:r>
      <w:r>
        <w:rPr>
          <w:rFonts w:ascii="宋体" w:hAnsi="宋体"/>
          <w:color w:val="000000"/>
          <w:sz w:val="24"/>
        </w:rPr>
        <w:t>有关的一切正式往来信函请寄：</w:t>
      </w:r>
    </w:p>
    <w:p>
      <w:pPr>
        <w:tabs>
          <w:tab w:val="left" w:pos="5580"/>
        </w:tabs>
        <w:spacing w:line="360" w:lineRule="auto"/>
        <w:ind w:left="420"/>
        <w:rPr>
          <w:rFonts w:ascii="宋体" w:hAnsi="宋体"/>
          <w:color w:val="000000"/>
          <w:sz w:val="24"/>
          <w:szCs w:val="20"/>
        </w:rPr>
      </w:pPr>
    </w:p>
    <w:p>
      <w:pPr>
        <w:tabs>
          <w:tab w:val="left" w:pos="5580"/>
        </w:tabs>
        <w:spacing w:line="360" w:lineRule="auto"/>
        <w:ind w:left="420"/>
        <w:rPr>
          <w:rFonts w:ascii="宋体" w:hAnsi="宋体"/>
          <w:color w:val="000000"/>
          <w:sz w:val="24"/>
          <w:szCs w:val="20"/>
        </w:rPr>
      </w:pPr>
      <w:r>
        <w:rPr>
          <w:rFonts w:ascii="宋体" w:hAnsi="宋体"/>
          <w:color w:val="000000"/>
          <w:sz w:val="24"/>
          <w:szCs w:val="20"/>
        </w:rPr>
        <w:t>地址_________________________     传真____________________________</w:t>
      </w:r>
    </w:p>
    <w:p>
      <w:pPr>
        <w:tabs>
          <w:tab w:val="left" w:pos="5580"/>
        </w:tabs>
        <w:spacing w:line="360" w:lineRule="auto"/>
        <w:ind w:left="420"/>
        <w:rPr>
          <w:rFonts w:ascii="宋体" w:hAnsi="宋体"/>
          <w:color w:val="000000"/>
          <w:sz w:val="24"/>
          <w:szCs w:val="20"/>
        </w:rPr>
      </w:pPr>
      <w:r>
        <w:rPr>
          <w:rFonts w:ascii="宋体" w:hAnsi="宋体"/>
          <w:color w:val="000000"/>
          <w:sz w:val="24"/>
          <w:szCs w:val="20"/>
        </w:rPr>
        <w:t>电话_________________________     电子函件________________________</w:t>
      </w:r>
    </w:p>
    <w:p>
      <w:pPr>
        <w:tabs>
          <w:tab w:val="left" w:pos="5580"/>
        </w:tabs>
        <w:spacing w:line="360" w:lineRule="auto"/>
        <w:ind w:left="420"/>
        <w:rPr>
          <w:rFonts w:ascii="宋体" w:hAnsi="宋体"/>
          <w:color w:val="000000"/>
          <w:sz w:val="24"/>
          <w:szCs w:val="20"/>
        </w:rPr>
      </w:pPr>
    </w:p>
    <w:p>
      <w:pPr>
        <w:tabs>
          <w:tab w:val="left" w:pos="5580"/>
        </w:tabs>
        <w:spacing w:line="360" w:lineRule="auto"/>
        <w:ind w:left="420"/>
        <w:rPr>
          <w:rFonts w:ascii="宋体" w:hAnsi="宋体"/>
          <w:color w:val="000000"/>
          <w:sz w:val="24"/>
          <w:szCs w:val="20"/>
        </w:rPr>
      </w:pPr>
      <w:r>
        <w:rPr>
          <w:rFonts w:hint="eastAsia" w:ascii="宋体" w:hAnsi="宋体"/>
          <w:color w:val="000000"/>
          <w:sz w:val="24"/>
          <w:szCs w:val="20"/>
        </w:rPr>
        <w:t>供应商</w:t>
      </w:r>
      <w:r>
        <w:rPr>
          <w:rFonts w:ascii="宋体" w:hAnsi="宋体"/>
          <w:color w:val="000000"/>
          <w:sz w:val="24"/>
          <w:szCs w:val="20"/>
        </w:rPr>
        <w:t>名称（加盖公章） ___________</w:t>
      </w:r>
    </w:p>
    <w:p>
      <w:pPr>
        <w:tabs>
          <w:tab w:val="left" w:pos="5580"/>
        </w:tabs>
        <w:spacing w:line="360" w:lineRule="auto"/>
        <w:ind w:left="420"/>
        <w:rPr>
          <w:rFonts w:ascii="宋体" w:hAnsi="宋体"/>
          <w:color w:val="000000"/>
          <w:sz w:val="24"/>
          <w:szCs w:val="20"/>
        </w:rPr>
      </w:pPr>
      <w:r>
        <w:rPr>
          <w:rFonts w:hint="eastAsia" w:ascii="宋体" w:hAnsi="宋体"/>
          <w:color w:val="000000"/>
          <w:sz w:val="24"/>
          <w:szCs w:val="20"/>
        </w:rPr>
        <w:t>授权代表签字：</w:t>
      </w:r>
      <w:r>
        <w:rPr>
          <w:rFonts w:ascii="宋体" w:hAnsi="宋体"/>
          <w:color w:val="000000"/>
          <w:sz w:val="24"/>
          <w:szCs w:val="20"/>
        </w:rPr>
        <w:t>___________</w:t>
      </w:r>
    </w:p>
    <w:p>
      <w:pPr>
        <w:tabs>
          <w:tab w:val="left" w:pos="5580"/>
        </w:tabs>
        <w:spacing w:line="360" w:lineRule="auto"/>
        <w:ind w:left="420"/>
        <w:rPr>
          <w:rFonts w:ascii="宋体" w:hAnsi="宋体"/>
          <w:color w:val="000000"/>
          <w:sz w:val="24"/>
          <w:szCs w:val="20"/>
        </w:rPr>
      </w:pPr>
      <w:r>
        <w:rPr>
          <w:rFonts w:ascii="宋体" w:hAnsi="宋体"/>
          <w:color w:val="000000"/>
          <w:sz w:val="24"/>
          <w:szCs w:val="20"/>
        </w:rPr>
        <w:t xml:space="preserve">日期：_____年______月______日    </w:t>
      </w:r>
    </w:p>
    <w:p>
      <w:pPr>
        <w:tabs>
          <w:tab w:val="left" w:pos="5580"/>
        </w:tabs>
        <w:spacing w:line="360" w:lineRule="auto"/>
        <w:ind w:left="420"/>
        <w:rPr>
          <w:rFonts w:ascii="宋体" w:hAnsi="宋体"/>
          <w:color w:val="000000"/>
          <w:sz w:val="24"/>
          <w:szCs w:val="20"/>
          <w:u w:val="single"/>
        </w:rPr>
      </w:pPr>
    </w:p>
    <w:p>
      <w:pPr>
        <w:widowControl/>
        <w:jc w:val="left"/>
        <w:rPr>
          <w:rFonts w:ascii="宋体" w:hAnsi="宋体"/>
          <w:color w:val="000000"/>
          <w:sz w:val="24"/>
        </w:rPr>
      </w:pPr>
      <w:bookmarkStart w:id="723" w:name="_Hlt520355938"/>
      <w:bookmarkEnd w:id="723"/>
      <w:bookmarkStart w:id="724" w:name="_Hlt520356243"/>
      <w:bookmarkEnd w:id="724"/>
      <w:bookmarkStart w:id="725" w:name="_Toc195842922"/>
      <w:bookmarkStart w:id="726" w:name="_Toc305158825"/>
      <w:bookmarkStart w:id="727" w:name="_Toc226337253"/>
      <w:bookmarkStart w:id="728" w:name="_Ref467988705"/>
      <w:bookmarkStart w:id="729" w:name="_Toc264969247"/>
      <w:bookmarkStart w:id="730" w:name="_Toc127151557"/>
      <w:bookmarkStart w:id="731" w:name="_Toc150480795"/>
      <w:bookmarkStart w:id="732" w:name="_Toc142311059"/>
      <w:bookmarkStart w:id="733" w:name="_Toc305158899"/>
      <w:bookmarkStart w:id="734" w:name="_Toc520356218"/>
      <w:bookmarkStart w:id="735" w:name="_Toc226965747"/>
      <w:bookmarkStart w:id="736" w:name="_Toc226965830"/>
      <w:bookmarkStart w:id="737" w:name="_Toc265228395"/>
      <w:bookmarkStart w:id="738" w:name="_Toc150774762"/>
      <w:bookmarkStart w:id="739" w:name="_Toc226309801"/>
      <w:bookmarkStart w:id="740" w:name="_Toc480942350"/>
      <w:r>
        <w:rPr>
          <w:rFonts w:ascii="宋体" w:hAnsi="宋体"/>
          <w:color w:val="000000"/>
          <w:sz w:val="24"/>
        </w:rPr>
        <w:br w:type="page"/>
      </w:r>
    </w:p>
    <w:p>
      <w:pPr>
        <w:spacing w:line="360" w:lineRule="auto"/>
        <w:outlineLvl w:val="2"/>
        <w:rPr>
          <w:rFonts w:ascii="宋体" w:hAnsi="宋体"/>
          <w:color w:val="000000"/>
          <w:sz w:val="24"/>
        </w:rPr>
      </w:pPr>
      <w:r>
        <w:rPr>
          <w:rFonts w:ascii="宋体" w:hAnsi="宋体"/>
          <w:color w:val="000000"/>
          <w:sz w:val="24"/>
        </w:rPr>
        <w:t>2  授权委托书（实质性格式）</w:t>
      </w:r>
    </w:p>
    <w:p>
      <w:pPr>
        <w:spacing w:line="360" w:lineRule="exact"/>
        <w:jc w:val="center"/>
        <w:rPr>
          <w:rFonts w:ascii="宋体" w:hAnsi="宋体"/>
          <w:b/>
          <w:color w:val="000000"/>
          <w:sz w:val="36"/>
          <w:szCs w:val="36"/>
        </w:rPr>
      </w:pPr>
      <w:r>
        <w:rPr>
          <w:rFonts w:hint="eastAsia" w:ascii="宋体" w:hAnsi="宋体"/>
          <w:b/>
          <w:color w:val="000000"/>
          <w:sz w:val="36"/>
          <w:szCs w:val="36"/>
        </w:rPr>
        <w:t>授权委托书</w:t>
      </w:r>
    </w:p>
    <w:p>
      <w:pPr>
        <w:spacing w:line="360" w:lineRule="auto"/>
        <w:ind w:firstLine="420"/>
        <w:rPr>
          <w:rFonts w:ascii="宋体" w:hAnsi="宋体"/>
          <w:color w:val="000000"/>
          <w:sz w:val="24"/>
          <w:szCs w:val="20"/>
        </w:rPr>
      </w:pPr>
    </w:p>
    <w:p>
      <w:pPr>
        <w:spacing w:line="360" w:lineRule="auto"/>
        <w:ind w:firstLine="420"/>
        <w:rPr>
          <w:rFonts w:ascii="宋体" w:hAnsi="宋体"/>
          <w:color w:val="000000"/>
          <w:sz w:val="24"/>
          <w:szCs w:val="20"/>
        </w:rPr>
      </w:pPr>
      <w:r>
        <w:rPr>
          <w:rFonts w:hint="eastAsia" w:ascii="宋体" w:hAnsi="宋体"/>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供应商</w:t>
      </w:r>
      <w:r>
        <w:rPr>
          <w:rFonts w:ascii="宋体" w:hAnsi="宋体"/>
          <w:color w:val="000000"/>
          <w:sz w:val="24"/>
          <w:szCs w:val="20"/>
        </w:rPr>
        <w:t>名称）</w:t>
      </w:r>
      <w:r>
        <w:rPr>
          <w:rFonts w:hint="eastAsia" w:ascii="宋体" w:hAnsi="宋体"/>
          <w:color w:val="000000"/>
          <w:sz w:val="24"/>
          <w:szCs w:val="20"/>
        </w:rPr>
        <w:t>的</w:t>
      </w:r>
      <w:r>
        <w:rPr>
          <w:rFonts w:ascii="宋体" w:hAnsi="宋体"/>
          <w:color w:val="000000"/>
          <w:sz w:val="24"/>
          <w:szCs w:val="20"/>
        </w:rPr>
        <w:t>法定代表人（</w:t>
      </w:r>
      <w:r>
        <w:rPr>
          <w:rFonts w:hint="eastAsia" w:ascii="宋体" w:hAnsi="宋体"/>
          <w:color w:val="000000"/>
          <w:sz w:val="24"/>
          <w:szCs w:val="20"/>
        </w:rPr>
        <w:t>单位</w:t>
      </w:r>
      <w:r>
        <w:rPr>
          <w:rFonts w:ascii="宋体" w:hAnsi="宋体"/>
          <w:color w:val="000000"/>
          <w:sz w:val="24"/>
          <w:szCs w:val="20"/>
        </w:rPr>
        <w:t>负责人）</w:t>
      </w:r>
      <w:r>
        <w:rPr>
          <w:rFonts w:hint="eastAsia" w:ascii="宋体" w:hAnsi="宋体"/>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为</w:t>
      </w:r>
      <w:r>
        <w:rPr>
          <w:rFonts w:ascii="宋体" w:hAnsi="宋体"/>
          <w:color w:val="000000"/>
          <w:sz w:val="24"/>
          <w:szCs w:val="20"/>
        </w:rPr>
        <w:t>我方代理人。</w:t>
      </w:r>
      <w:r>
        <w:rPr>
          <w:rFonts w:hint="eastAsia" w:ascii="宋体" w:hAnsi="宋体"/>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项目</w:t>
      </w:r>
      <w:r>
        <w:rPr>
          <w:rFonts w:ascii="宋体" w:hAnsi="宋体"/>
          <w:color w:val="000000"/>
          <w:sz w:val="24"/>
          <w:szCs w:val="20"/>
        </w:rPr>
        <w:t>名称）</w:t>
      </w:r>
      <w:r>
        <w:rPr>
          <w:rFonts w:hint="eastAsia" w:ascii="宋体" w:hAnsi="宋体"/>
          <w:color w:val="000000"/>
          <w:sz w:val="24"/>
          <w:szCs w:val="20"/>
        </w:rPr>
        <w:t>响应文件和</w:t>
      </w:r>
      <w:r>
        <w:rPr>
          <w:rFonts w:ascii="宋体" w:hAnsi="宋体"/>
          <w:color w:val="000000"/>
          <w:sz w:val="24"/>
          <w:szCs w:val="20"/>
        </w:rPr>
        <w:t>处理有关事宜，其法律后果由我方承担。</w:t>
      </w:r>
    </w:p>
    <w:p>
      <w:pPr>
        <w:spacing w:line="360" w:lineRule="auto"/>
        <w:ind w:firstLine="420"/>
        <w:rPr>
          <w:rFonts w:ascii="宋体" w:hAnsi="宋体"/>
          <w:color w:val="000000"/>
          <w:sz w:val="24"/>
          <w:szCs w:val="20"/>
        </w:rPr>
      </w:pPr>
      <w:r>
        <w:rPr>
          <w:rFonts w:hint="eastAsia" w:ascii="宋体" w:hAnsi="宋体"/>
          <w:color w:val="000000"/>
          <w:sz w:val="24"/>
          <w:szCs w:val="20"/>
        </w:rPr>
        <w:t>委托</w:t>
      </w:r>
      <w:r>
        <w:rPr>
          <w:rFonts w:ascii="宋体" w:hAnsi="宋体"/>
          <w:color w:val="000000"/>
          <w:sz w:val="24"/>
          <w:szCs w:val="20"/>
        </w:rPr>
        <w:t>期限：自本</w:t>
      </w:r>
      <w:r>
        <w:rPr>
          <w:rFonts w:hint="eastAsia" w:ascii="宋体" w:hAnsi="宋体"/>
          <w:color w:val="000000"/>
          <w:sz w:val="24"/>
          <w:szCs w:val="20"/>
        </w:rPr>
        <w:t>授权</w:t>
      </w:r>
      <w:r>
        <w:rPr>
          <w:rFonts w:ascii="宋体" w:hAnsi="宋体"/>
          <w:color w:val="000000"/>
          <w:sz w:val="24"/>
          <w:szCs w:val="20"/>
        </w:rPr>
        <w:t>委托书签署之日起至</w:t>
      </w:r>
      <w:r>
        <w:rPr>
          <w:rFonts w:hint="eastAsia" w:ascii="宋体" w:hAnsi="宋体"/>
          <w:color w:val="000000"/>
          <w:sz w:val="24"/>
          <w:szCs w:val="20"/>
        </w:rPr>
        <w:t>响应</w:t>
      </w:r>
      <w:r>
        <w:rPr>
          <w:rFonts w:ascii="宋体" w:hAnsi="宋体"/>
          <w:color w:val="000000"/>
          <w:sz w:val="24"/>
          <w:szCs w:val="20"/>
        </w:rPr>
        <w:t>有效期</w:t>
      </w:r>
      <w:r>
        <w:rPr>
          <w:rFonts w:hint="eastAsia" w:ascii="宋体" w:hAnsi="宋体"/>
          <w:color w:val="000000"/>
          <w:sz w:val="24"/>
          <w:szCs w:val="20"/>
        </w:rPr>
        <w:t>届满</w:t>
      </w:r>
      <w:r>
        <w:rPr>
          <w:rFonts w:ascii="宋体" w:hAnsi="宋体"/>
          <w:color w:val="000000"/>
          <w:sz w:val="24"/>
          <w:szCs w:val="20"/>
        </w:rPr>
        <w:t>之日止。</w:t>
      </w:r>
    </w:p>
    <w:p>
      <w:pPr>
        <w:spacing w:line="360" w:lineRule="auto"/>
        <w:ind w:firstLine="420"/>
        <w:rPr>
          <w:rFonts w:ascii="宋体" w:hAnsi="宋体"/>
          <w:color w:val="000000"/>
          <w:sz w:val="24"/>
          <w:szCs w:val="20"/>
        </w:rPr>
      </w:pPr>
      <w:r>
        <w:rPr>
          <w:rFonts w:hint="eastAsia" w:ascii="宋体" w:hAnsi="宋体"/>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pPr>
        <w:spacing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：________________</w:t>
      </w:r>
    </w:p>
    <w:p>
      <w:pPr>
        <w:spacing w:line="360" w:lineRule="auto"/>
        <w:rPr>
          <w:rFonts w:ascii="宋体" w:hAnsi="宋体"/>
          <w:color w:val="000000"/>
          <w:sz w:val="24"/>
          <w:szCs w:val="20"/>
        </w:rPr>
      </w:pPr>
      <w:r>
        <w:rPr>
          <w:rFonts w:ascii="宋体" w:hAnsi="宋体"/>
          <w:color w:val="000000"/>
          <w:sz w:val="24"/>
          <w:szCs w:val="20"/>
        </w:rPr>
        <w:t>法定代表人（单位负责人）（签字</w:t>
      </w:r>
      <w:r>
        <w:rPr>
          <w:rFonts w:hint="eastAsia" w:ascii="宋体" w:hAnsi="宋体"/>
          <w:color w:val="000000"/>
          <w:sz w:val="24"/>
          <w:szCs w:val="20"/>
        </w:rPr>
        <w:t>、签章</w:t>
      </w:r>
      <w:r>
        <w:rPr>
          <w:rFonts w:ascii="宋体" w:hAnsi="宋体"/>
          <w:color w:val="000000"/>
          <w:sz w:val="24"/>
          <w:szCs w:val="20"/>
        </w:rPr>
        <w:t>或</w:t>
      </w:r>
      <w:r>
        <w:rPr>
          <w:rFonts w:hint="eastAsia" w:ascii="宋体" w:hAnsi="宋体"/>
          <w:color w:val="000000"/>
          <w:sz w:val="24"/>
          <w:szCs w:val="20"/>
        </w:rPr>
        <w:t>印鉴）</w:t>
      </w:r>
      <w:r>
        <w:rPr>
          <w:rFonts w:ascii="宋体" w:hAnsi="宋体"/>
          <w:color w:val="000000"/>
          <w:sz w:val="24"/>
          <w:szCs w:val="20"/>
        </w:rPr>
        <w:t>：</w:t>
      </w:r>
      <w:r>
        <w:rPr>
          <w:rFonts w:ascii="宋体" w:hAnsi="宋体"/>
          <w:color w:val="000000"/>
          <w:sz w:val="24"/>
          <w:lang w:val="zh-CN"/>
        </w:rPr>
        <w:t>________________</w:t>
      </w:r>
    </w:p>
    <w:p>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委托代理</w:t>
      </w:r>
      <w:r>
        <w:rPr>
          <w:rFonts w:ascii="宋体" w:hAnsi="宋体"/>
          <w:color w:val="000000"/>
          <w:sz w:val="24"/>
        </w:rPr>
        <w:t>人（签字</w:t>
      </w:r>
      <w:r>
        <w:rPr>
          <w:rFonts w:hint="eastAsia" w:ascii="宋体" w:hAnsi="宋体"/>
          <w:color w:val="000000"/>
          <w:sz w:val="24"/>
        </w:rPr>
        <w:t>/签章</w:t>
      </w:r>
      <w:r>
        <w:rPr>
          <w:rFonts w:ascii="宋体" w:hAnsi="宋体"/>
          <w:color w:val="000000"/>
          <w:sz w:val="24"/>
        </w:rPr>
        <w:t>）：</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pPr>
        <w:tabs>
          <w:tab w:val="left" w:pos="5580"/>
        </w:tabs>
        <w:spacing w:line="360" w:lineRule="auto"/>
        <w:ind w:firstLine="480" w:firstLineChars="200"/>
        <w:rPr>
          <w:rFonts w:ascii="宋体" w:hAnsi="宋体"/>
          <w:color w:val="000000"/>
          <w:sz w:val="24"/>
          <w:szCs w:val="20"/>
        </w:rPr>
      </w:pPr>
    </w:p>
    <w:p>
      <w:pPr>
        <w:tabs>
          <w:tab w:val="left" w:pos="5580"/>
        </w:tabs>
        <w:spacing w:line="360" w:lineRule="auto"/>
        <w:jc w:val="left"/>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ascii="宋体" w:hAnsi="宋体"/>
          <w:color w:val="000000"/>
          <w:sz w:val="24"/>
          <w:szCs w:val="20"/>
        </w:rPr>
        <w:t>电子件：</w:t>
      </w:r>
    </w:p>
    <w:tbl>
      <w:tblPr>
        <w:tblStyle w:val="40"/>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4536"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ascii="宋体" w:hAnsi="宋体"/>
          <w:color w:val="000000"/>
          <w:sz w:val="24"/>
          <w:szCs w:val="20"/>
        </w:rPr>
        <w:t>电子件：</w:t>
      </w:r>
    </w:p>
    <w:tbl>
      <w:tblPr>
        <w:tblStyle w:val="40"/>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4536"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说明</w:t>
      </w:r>
      <w:r>
        <w:rPr>
          <w:rFonts w:ascii="宋体" w:hAnsi="宋体"/>
          <w:color w:val="000000"/>
          <w:sz w:val="24"/>
          <w:szCs w:val="20"/>
        </w:rPr>
        <w:t>：</w:t>
      </w:r>
    </w:p>
    <w:p>
      <w:pPr>
        <w:tabs>
          <w:tab w:val="left" w:pos="5580"/>
        </w:tabs>
        <w:spacing w:line="360" w:lineRule="auto"/>
        <w:jc w:val="left"/>
        <w:rPr>
          <w:rFonts w:ascii="宋体" w:hAnsi="宋体"/>
          <w:color w:val="000000"/>
          <w:sz w:val="24"/>
          <w:szCs w:val="20"/>
        </w:rPr>
      </w:pPr>
      <w:r>
        <w:rPr>
          <w:rFonts w:ascii="宋体" w:hAnsi="宋体"/>
          <w:color w:val="000000"/>
          <w:sz w:val="24"/>
          <w:szCs w:val="20"/>
        </w:rPr>
        <w:t>1.若供应商为事业单位或其他组织或分支机构（仅当</w:t>
      </w:r>
      <w:r>
        <w:rPr>
          <w:rFonts w:hint="eastAsia" w:ascii="宋体" w:hAnsi="宋体"/>
          <w:color w:val="000000"/>
          <w:sz w:val="24"/>
          <w:szCs w:val="20"/>
        </w:rPr>
        <w:t>比选文件</w:t>
      </w:r>
      <w:r>
        <w:rPr>
          <w:rFonts w:ascii="宋体" w:hAnsi="宋体"/>
          <w:color w:val="000000"/>
          <w:sz w:val="24"/>
          <w:szCs w:val="20"/>
        </w:rPr>
        <w:t>注明允许分支机构</w:t>
      </w:r>
      <w:r>
        <w:rPr>
          <w:rFonts w:hint="eastAsia" w:ascii="宋体" w:hAnsi="宋体"/>
          <w:color w:val="000000"/>
          <w:sz w:val="24"/>
          <w:szCs w:val="20"/>
        </w:rPr>
        <w:t>响应</w:t>
      </w:r>
      <w:r>
        <w:rPr>
          <w:rFonts w:ascii="宋体" w:hAnsi="宋体"/>
          <w:color w:val="000000"/>
          <w:sz w:val="24"/>
          <w:szCs w:val="20"/>
        </w:rPr>
        <w:t>的），则法定代表人（单位负责人）</w:t>
      </w:r>
      <w:r>
        <w:rPr>
          <w:rFonts w:hint="eastAsia" w:ascii="宋体" w:hAnsi="宋体"/>
          <w:color w:val="000000"/>
          <w:sz w:val="24"/>
          <w:szCs w:val="20"/>
        </w:rPr>
        <w:t>处</w:t>
      </w:r>
      <w:r>
        <w:rPr>
          <w:rFonts w:ascii="宋体" w:hAnsi="宋体"/>
          <w:color w:val="000000"/>
          <w:sz w:val="24"/>
          <w:szCs w:val="20"/>
        </w:rPr>
        <w:t>的签署人可为单位负责人</w:t>
      </w:r>
      <w:r>
        <w:rPr>
          <w:rFonts w:hint="eastAsia" w:ascii="宋体" w:hAnsi="宋体"/>
          <w:color w:val="000000"/>
          <w:sz w:val="24"/>
          <w:szCs w:val="20"/>
        </w:rPr>
        <w:t>。</w:t>
      </w:r>
    </w:p>
    <w:p>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2.</w:t>
      </w:r>
      <w:r>
        <w:rPr>
          <w:rFonts w:ascii="宋体" w:hAnsi="宋体"/>
          <w:color w:val="000000"/>
          <w:sz w:val="24"/>
          <w:szCs w:val="20"/>
        </w:rPr>
        <w:t>若</w:t>
      </w:r>
      <w:r>
        <w:rPr>
          <w:rFonts w:hint="eastAsia" w:ascii="宋体" w:hAnsi="宋体"/>
          <w:color w:val="000000"/>
          <w:sz w:val="24"/>
          <w:szCs w:val="20"/>
        </w:rPr>
        <w:t>响应文件</w:t>
      </w:r>
      <w:r>
        <w:rPr>
          <w:rFonts w:ascii="宋体" w:hAnsi="宋体"/>
          <w:color w:val="000000"/>
          <w:sz w:val="24"/>
          <w:szCs w:val="20"/>
        </w:rPr>
        <w:t>中签字之处均为法定代表人（单位负责人）本人签署，则可不提供本《</w:t>
      </w:r>
      <w:r>
        <w:rPr>
          <w:rFonts w:hint="eastAsia" w:ascii="宋体" w:hAnsi="宋体"/>
          <w:color w:val="000000"/>
          <w:sz w:val="24"/>
          <w:szCs w:val="20"/>
        </w:rPr>
        <w:t>授权委托书</w:t>
      </w:r>
      <w:r>
        <w:rPr>
          <w:rFonts w:ascii="宋体" w:hAnsi="宋体"/>
          <w:color w:val="000000"/>
          <w:sz w:val="24"/>
          <w:szCs w:val="20"/>
        </w:rPr>
        <w:t>》，但须提供</w:t>
      </w:r>
      <w:r>
        <w:rPr>
          <w:rFonts w:hint="eastAsia" w:ascii="宋体" w:hAnsi="宋体"/>
          <w:color w:val="000000"/>
          <w:sz w:val="24"/>
          <w:szCs w:val="20"/>
        </w:rPr>
        <w:t>《</w:t>
      </w:r>
      <w:r>
        <w:rPr>
          <w:rFonts w:ascii="宋体" w:hAnsi="宋体"/>
          <w:color w:val="000000"/>
          <w:sz w:val="24"/>
          <w:szCs w:val="20"/>
        </w:rPr>
        <w:t>法定代表人（单位负责人）身份证</w:t>
      </w:r>
      <w:r>
        <w:rPr>
          <w:rFonts w:hint="eastAsia" w:ascii="宋体" w:hAnsi="宋体"/>
          <w:color w:val="000000"/>
          <w:sz w:val="24"/>
          <w:szCs w:val="20"/>
        </w:rPr>
        <w:t>明》</w:t>
      </w:r>
      <w:r>
        <w:rPr>
          <w:rFonts w:ascii="宋体" w:hAnsi="宋体"/>
          <w:color w:val="000000"/>
          <w:sz w:val="24"/>
          <w:szCs w:val="20"/>
        </w:rPr>
        <w:t>（实质性格式）。</w:t>
      </w:r>
    </w:p>
    <w:p>
      <w:pPr>
        <w:tabs>
          <w:tab w:val="left" w:pos="5580"/>
        </w:tabs>
        <w:spacing w:line="360" w:lineRule="auto"/>
        <w:jc w:val="left"/>
        <w:rPr>
          <w:rFonts w:ascii="宋体" w:hAnsi="宋体"/>
          <w:color w:val="000000"/>
          <w:sz w:val="30"/>
          <w:szCs w:val="30"/>
        </w:rPr>
      </w:pPr>
      <w:r>
        <w:rPr>
          <w:rFonts w:ascii="宋体" w:hAnsi="宋体"/>
          <w:color w:val="000000"/>
          <w:sz w:val="24"/>
          <w:szCs w:val="20"/>
        </w:rPr>
        <w:t>3.</w:t>
      </w:r>
      <w:r>
        <w:rPr>
          <w:rFonts w:hint="eastAsia" w:ascii="宋体" w:hAnsi="宋体"/>
          <w:color w:val="000000"/>
          <w:sz w:val="24"/>
          <w:szCs w:val="20"/>
        </w:rPr>
        <w:t>供应商为自然人的情形，可不提供本</w:t>
      </w:r>
      <w:r>
        <w:rPr>
          <w:rFonts w:ascii="宋体" w:hAnsi="宋体"/>
          <w:color w:val="000000"/>
          <w:sz w:val="24"/>
          <w:szCs w:val="20"/>
        </w:rPr>
        <w:t>《</w:t>
      </w:r>
      <w:r>
        <w:rPr>
          <w:rFonts w:hint="eastAsia" w:ascii="宋体" w:hAnsi="宋体"/>
          <w:color w:val="000000"/>
          <w:sz w:val="24"/>
          <w:szCs w:val="20"/>
        </w:rPr>
        <w:t>授权委托书</w:t>
      </w:r>
      <w:r>
        <w:rPr>
          <w:rFonts w:ascii="宋体" w:hAnsi="宋体"/>
          <w:color w:val="000000"/>
          <w:sz w:val="24"/>
          <w:szCs w:val="20"/>
        </w:rPr>
        <w:t>》</w:t>
      </w:r>
      <w:r>
        <w:rPr>
          <w:rFonts w:hint="eastAsia" w:ascii="宋体" w:hAnsi="宋体"/>
          <w:color w:val="000000"/>
          <w:sz w:val="24"/>
          <w:szCs w:val="20"/>
        </w:rPr>
        <w:t>。</w:t>
      </w:r>
      <w:r>
        <w:rPr>
          <w:rFonts w:ascii="宋体" w:hAnsi="宋体"/>
          <w:color w:val="000000"/>
          <w:sz w:val="30"/>
          <w:szCs w:val="30"/>
        </w:rPr>
        <w:br w:type="page"/>
      </w:r>
    </w:p>
    <w:p>
      <w:pPr>
        <w:spacing w:line="360" w:lineRule="exact"/>
        <w:jc w:val="center"/>
        <w:rPr>
          <w:rFonts w:ascii="宋体" w:hAnsi="宋体"/>
          <w:b/>
          <w:color w:val="000000"/>
          <w:sz w:val="36"/>
          <w:szCs w:val="36"/>
        </w:rPr>
      </w:pPr>
      <w:r>
        <w:rPr>
          <w:rFonts w:hint="eastAsia" w:ascii="宋体" w:hAnsi="宋体"/>
          <w:b/>
          <w:color w:val="000000"/>
          <w:sz w:val="36"/>
          <w:szCs w:val="36"/>
        </w:rPr>
        <w:t>附：</w:t>
      </w:r>
      <w:r>
        <w:rPr>
          <w:rFonts w:ascii="宋体" w:hAnsi="宋体"/>
          <w:b/>
          <w:color w:val="000000"/>
          <w:sz w:val="36"/>
          <w:szCs w:val="36"/>
        </w:rPr>
        <w:t>法定代表人（单位负责人）身份证明</w:t>
      </w:r>
    </w:p>
    <w:p>
      <w:pPr>
        <w:kinsoku w:val="0"/>
        <w:overflowPunct w:val="0"/>
        <w:spacing w:line="200" w:lineRule="exact"/>
        <w:rPr>
          <w:rFonts w:ascii="宋体" w:hAnsi="宋体"/>
          <w:sz w:val="20"/>
          <w:szCs w:val="20"/>
        </w:rPr>
      </w:pPr>
    </w:p>
    <w:p>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hint="eastAsia" w:ascii="宋体" w:hAnsi="宋体"/>
          <w:color w:val="000000"/>
          <w:sz w:val="24"/>
          <w:u w:val="single"/>
        </w:rPr>
        <w:t>采购人或</w:t>
      </w:r>
      <w:r>
        <w:rPr>
          <w:rFonts w:ascii="宋体" w:hAnsi="宋体"/>
          <w:color w:val="000000"/>
          <w:sz w:val="24"/>
          <w:u w:val="single"/>
        </w:rPr>
        <w:t>采购代理机构）</w:t>
      </w:r>
    </w:p>
    <w:p>
      <w:pPr>
        <w:pStyle w:val="3"/>
        <w:tabs>
          <w:tab w:val="left" w:pos="2412"/>
          <w:tab w:val="left" w:pos="3883"/>
          <w:tab w:val="left" w:pos="5352"/>
          <w:tab w:val="left" w:pos="6821"/>
        </w:tabs>
        <w:kinsoku w:val="0"/>
        <w:overflowPunct w:val="0"/>
        <w:spacing w:line="335" w:lineRule="exact"/>
        <w:ind w:firstLine="480" w:firstLineChars="200"/>
      </w:pPr>
      <w:r>
        <w:rPr>
          <w:rFonts w:hint="eastAsia"/>
        </w:rPr>
        <w:t>兹证明，</w:t>
      </w:r>
    </w:p>
    <w:p>
      <w:pPr>
        <w:pStyle w:val="3"/>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pPr>
        <w:pStyle w:val="3"/>
        <w:tabs>
          <w:tab w:val="left" w:pos="2412"/>
          <w:tab w:val="left" w:pos="3883"/>
          <w:tab w:val="left" w:pos="5352"/>
          <w:tab w:val="left" w:pos="6821"/>
        </w:tabs>
        <w:kinsoku w:val="0"/>
        <w:overflowPunct w:val="0"/>
        <w:spacing w:line="335" w:lineRule="exact"/>
      </w:pPr>
    </w:p>
    <w:p>
      <w:pPr>
        <w:pStyle w:val="3"/>
        <w:tabs>
          <w:tab w:val="left" w:pos="2250"/>
          <w:tab w:val="left" w:pos="2412"/>
          <w:tab w:val="left" w:pos="3883"/>
          <w:tab w:val="left" w:pos="5352"/>
          <w:tab w:val="left" w:pos="6821"/>
          <w:tab w:val="clear" w:pos="567"/>
        </w:tabs>
        <w:kinsoku w:val="0"/>
        <w:overflowPunct w:val="0"/>
        <w:spacing w:line="335" w:lineRule="exact"/>
      </w:pPr>
      <w:r>
        <w:t>系</w:t>
      </w:r>
      <w:r>
        <w:rPr>
          <w:u w:val="single"/>
        </w:rPr>
        <w:tab/>
      </w:r>
      <w:r>
        <w:t>（</w:t>
      </w:r>
      <w:r>
        <w:rPr>
          <w:rFonts w:hint="eastAsia"/>
        </w:rPr>
        <w:t>供应商</w:t>
      </w:r>
      <w:r>
        <w:t>名称）的法定代表人（单位负责人）。</w:t>
      </w:r>
    </w:p>
    <w:p>
      <w:pPr>
        <w:pStyle w:val="3"/>
        <w:tabs>
          <w:tab w:val="left" w:pos="2412"/>
          <w:tab w:val="left" w:pos="3883"/>
          <w:tab w:val="left" w:pos="5352"/>
          <w:tab w:val="left" w:pos="6821"/>
        </w:tabs>
        <w:kinsoku w:val="0"/>
        <w:overflowPunct w:val="0"/>
        <w:spacing w:line="335" w:lineRule="exact"/>
      </w:pPr>
    </w:p>
    <w:p>
      <w:pPr>
        <w:pStyle w:val="3"/>
        <w:tabs>
          <w:tab w:val="left" w:pos="2412"/>
          <w:tab w:val="left" w:pos="3883"/>
          <w:tab w:val="left" w:pos="5352"/>
          <w:tab w:val="left" w:pos="6821"/>
        </w:tabs>
        <w:kinsoku w:val="0"/>
        <w:overflowPunct w:val="0"/>
        <w:spacing w:line="335" w:lineRule="exact"/>
      </w:pPr>
    </w:p>
    <w:p>
      <w:pPr>
        <w:pStyle w:val="3"/>
        <w:tabs>
          <w:tab w:val="left" w:pos="2412"/>
          <w:tab w:val="left" w:pos="3883"/>
          <w:tab w:val="left" w:pos="5352"/>
          <w:tab w:val="left" w:pos="6821"/>
        </w:tabs>
        <w:kinsoku w:val="0"/>
        <w:overflowPunct w:val="0"/>
        <w:spacing w:line="335" w:lineRule="exact"/>
      </w:pPr>
    </w:p>
    <w:p>
      <w:pPr>
        <w:pStyle w:val="3"/>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电子</w:t>
      </w:r>
      <w:r>
        <w:rPr>
          <w:spacing w:val="-3"/>
        </w:rPr>
        <w:t>件</w:t>
      </w:r>
      <w:r>
        <w:rPr>
          <w:rFonts w:hint="eastAsia"/>
          <w:spacing w:val="-3"/>
        </w:rPr>
        <w:t>。</w:t>
      </w:r>
    </w:p>
    <w:tbl>
      <w:tblPr>
        <w:tblStyle w:val="40"/>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4536"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pStyle w:val="3"/>
        <w:kinsoku w:val="0"/>
        <w:overflowPunct w:val="0"/>
        <w:spacing w:line="583" w:lineRule="auto"/>
        <w:ind w:right="4305"/>
        <w:rPr>
          <w:spacing w:val="-3"/>
        </w:rPr>
      </w:pPr>
    </w:p>
    <w:p>
      <w:pPr>
        <w:pStyle w:val="3"/>
        <w:kinsoku w:val="0"/>
        <w:overflowPunct w:val="0"/>
        <w:spacing w:line="583" w:lineRule="auto"/>
        <w:ind w:right="4305"/>
        <w:rPr>
          <w:spacing w:val="-3"/>
        </w:rPr>
      </w:pPr>
    </w:p>
    <w:p>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：________________</w:t>
      </w:r>
    </w:p>
    <w:p>
      <w:pPr>
        <w:pStyle w:val="3"/>
        <w:kinsoku w:val="0"/>
        <w:overflowPunct w:val="0"/>
        <w:spacing w:line="583" w:lineRule="auto"/>
        <w:ind w:right="95"/>
        <w:rPr>
          <w:spacing w:val="-3"/>
        </w:rPr>
      </w:pPr>
      <w:r>
        <w:rPr>
          <w:rFonts w:hint="eastAsia"/>
          <w:spacing w:val="-3"/>
        </w:rPr>
        <w:t>法定代表人（</w:t>
      </w:r>
      <w:r>
        <w:t>单位负责人</w:t>
      </w:r>
      <w:r>
        <w:rPr>
          <w:rFonts w:hint="eastAsia"/>
          <w:spacing w:val="-3"/>
        </w:rPr>
        <w:t>）（签字、签章或印鉴）：_</w:t>
      </w:r>
      <w:r>
        <w:rPr>
          <w:spacing w:val="-3"/>
        </w:rPr>
        <w:t>______</w:t>
      </w:r>
    </w:p>
    <w:p>
      <w:pPr>
        <w:autoSpaceDE w:val="0"/>
        <w:autoSpaceDN w:val="0"/>
        <w:adjustRightInd w:val="0"/>
        <w:snapToGrid w:val="0"/>
        <w:spacing w:line="360" w:lineRule="auto"/>
        <w:rPr>
          <w:rFonts w:ascii="宋体" w:hAnsi="宋体"/>
          <w:color w:val="000000"/>
          <w:sz w:val="24"/>
        </w:rPr>
      </w:pPr>
    </w:p>
    <w:p>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pPr>
        <w:widowControl/>
        <w:jc w:val="left"/>
        <w:rPr>
          <w:rFonts w:ascii="宋体" w:hAnsi="宋体"/>
          <w:i/>
          <w:color w:val="000000"/>
          <w:sz w:val="24"/>
          <w:szCs w:val="20"/>
          <w:u w:val="single"/>
        </w:rPr>
      </w:pPr>
    </w:p>
    <w:p>
      <w:pPr>
        <w:widowControl/>
        <w:jc w:val="left"/>
        <w:rPr>
          <w:rFonts w:ascii="宋体" w:hAnsi="宋体"/>
          <w:color w:val="000000"/>
          <w:sz w:val="24"/>
          <w:szCs w:val="20"/>
        </w:rPr>
      </w:pPr>
      <w:r>
        <w:rPr>
          <w:rFonts w:ascii="宋体" w:hAnsi="宋体"/>
          <w:color w:val="000000"/>
          <w:sz w:val="24"/>
          <w:szCs w:val="20"/>
        </w:rPr>
        <w:br w:type="page"/>
      </w:r>
    </w:p>
    <w:p>
      <w:pPr>
        <w:spacing w:line="360" w:lineRule="auto"/>
        <w:outlineLvl w:val="2"/>
        <w:rPr>
          <w:rFonts w:ascii="宋体" w:hAnsi="宋体"/>
          <w:color w:val="000000"/>
          <w:sz w:val="24"/>
          <w:szCs w:val="20"/>
        </w:rPr>
      </w:pPr>
      <w:r>
        <w:rPr>
          <w:rFonts w:ascii="宋体" w:hAnsi="宋体"/>
          <w:color w:val="000000"/>
          <w:sz w:val="24"/>
          <w:szCs w:val="20"/>
        </w:rPr>
        <w:t xml:space="preserve">3  </w:t>
      </w:r>
      <w:r>
        <w:rPr>
          <w:rFonts w:hint="eastAsia" w:ascii="宋体" w:hAnsi="宋体"/>
          <w:color w:val="000000"/>
          <w:sz w:val="24"/>
          <w:szCs w:val="20"/>
        </w:rPr>
        <w:t>开选</w:t>
      </w:r>
      <w:r>
        <w:rPr>
          <w:rFonts w:ascii="宋体" w:hAnsi="宋体"/>
          <w:color w:val="000000"/>
          <w:sz w:val="24"/>
          <w:szCs w:val="20"/>
        </w:rPr>
        <w:t>一览表</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rPr>
          <w:rFonts w:ascii="宋体" w:hAnsi="宋体"/>
          <w:color w:val="000000"/>
          <w:sz w:val="24"/>
          <w:szCs w:val="20"/>
        </w:rPr>
        <w:t>（实质性格式）</w:t>
      </w:r>
    </w:p>
    <w:p>
      <w:pPr>
        <w:spacing w:line="360" w:lineRule="exact"/>
        <w:jc w:val="center"/>
        <w:rPr>
          <w:rFonts w:ascii="宋体" w:hAnsi="宋体"/>
          <w:b/>
          <w:color w:val="000000"/>
          <w:sz w:val="36"/>
          <w:szCs w:val="36"/>
        </w:rPr>
      </w:pPr>
      <w:bookmarkStart w:id="741" w:name="_Toc305158900"/>
      <w:bookmarkStart w:id="742" w:name="_Toc164608672"/>
      <w:bookmarkStart w:id="743" w:name="_Toc265228396"/>
      <w:bookmarkStart w:id="744" w:name="_Toc164608827"/>
      <w:bookmarkStart w:id="745" w:name="_Toc195842923"/>
      <w:bookmarkStart w:id="746" w:name="_Toc264969248"/>
      <w:bookmarkStart w:id="747" w:name="_Toc305158826"/>
      <w:bookmarkStart w:id="748" w:name="_Toc226965831"/>
      <w:bookmarkStart w:id="749" w:name="_Toc226337254"/>
      <w:bookmarkStart w:id="750" w:name="_Toc226309802"/>
      <w:bookmarkStart w:id="751" w:name="_Toc226965748"/>
      <w:r>
        <w:rPr>
          <w:rFonts w:hint="eastAsia" w:ascii="宋体" w:hAnsi="宋体"/>
          <w:b/>
          <w:color w:val="000000"/>
          <w:sz w:val="36"/>
          <w:szCs w:val="36"/>
        </w:rPr>
        <w:t>开选一览表</w:t>
      </w:r>
      <w:bookmarkEnd w:id="741"/>
      <w:bookmarkEnd w:id="742"/>
      <w:bookmarkEnd w:id="743"/>
      <w:bookmarkEnd w:id="744"/>
      <w:bookmarkEnd w:id="745"/>
      <w:bookmarkEnd w:id="746"/>
      <w:bookmarkEnd w:id="747"/>
      <w:bookmarkEnd w:id="748"/>
      <w:bookmarkEnd w:id="749"/>
      <w:bookmarkEnd w:id="750"/>
      <w:bookmarkEnd w:id="751"/>
    </w:p>
    <w:p>
      <w:pPr>
        <w:tabs>
          <w:tab w:val="left" w:pos="1800"/>
          <w:tab w:val="left" w:pos="5580"/>
        </w:tabs>
        <w:spacing w:line="360" w:lineRule="auto"/>
        <w:jc w:val="left"/>
        <w:rPr>
          <w:rFonts w:ascii="宋体" w:hAnsi="宋体"/>
          <w:i/>
          <w:color w:val="FF0000"/>
          <w:sz w:val="24"/>
        </w:rPr>
      </w:pPr>
    </w:p>
    <w:p>
      <w:pPr>
        <w:tabs>
          <w:tab w:val="left" w:pos="1800"/>
          <w:tab w:val="left" w:pos="5580"/>
        </w:tabs>
        <w:spacing w:line="360" w:lineRule="auto"/>
        <w:ind w:firstLine="240" w:firstLineChars="100"/>
        <w:jc w:val="left"/>
        <w:rPr>
          <w:rFonts w:ascii="宋体" w:hAnsi="宋体"/>
          <w:color w:val="000000"/>
          <w:sz w:val="24"/>
          <w:u w:val="single"/>
        </w:rPr>
      </w:pPr>
      <w:r>
        <w:rPr>
          <w:rFonts w:ascii="宋体" w:hAnsi="宋体"/>
          <w:color w:val="000000"/>
          <w:sz w:val="24"/>
        </w:rPr>
        <w:t>项目编号/包号：_____________________     项目名称：____________</w:t>
      </w:r>
    </w:p>
    <w:tbl>
      <w:tblPr>
        <w:tblStyle w:val="40"/>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66"/>
        <w:gridCol w:w="1761"/>
        <w:gridCol w:w="2612"/>
        <w:gridCol w:w="2279"/>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7" w:hRule="atLeast"/>
          <w:jc w:val="center"/>
        </w:trPr>
        <w:tc>
          <w:tcPr>
            <w:tcW w:w="696" w:type="pct"/>
            <w:vAlign w:val="center"/>
          </w:tcPr>
          <w:p>
            <w:pPr>
              <w:tabs>
                <w:tab w:val="left" w:pos="5580"/>
              </w:tabs>
              <w:jc w:val="center"/>
              <w:rPr>
                <w:rFonts w:ascii="宋体" w:hAnsi="宋体"/>
                <w:sz w:val="24"/>
              </w:rPr>
            </w:pPr>
            <w:r>
              <w:rPr>
                <w:rFonts w:hint="eastAsia" w:ascii="宋体" w:hAnsi="宋体"/>
                <w:sz w:val="24"/>
              </w:rPr>
              <w:t>包号</w:t>
            </w:r>
          </w:p>
        </w:tc>
        <w:tc>
          <w:tcPr>
            <w:tcW w:w="968" w:type="pct"/>
            <w:vAlign w:val="center"/>
          </w:tcPr>
          <w:p>
            <w:pPr>
              <w:tabs>
                <w:tab w:val="left" w:pos="5580"/>
              </w:tabs>
              <w:ind w:right="-199" w:firstLine="240"/>
              <w:rPr>
                <w:rFonts w:ascii="宋体" w:hAnsi="宋体"/>
                <w:sz w:val="24"/>
              </w:rPr>
            </w:pPr>
            <w:r>
              <w:rPr>
                <w:rFonts w:hint="eastAsia" w:ascii="宋体" w:hAnsi="宋体"/>
                <w:sz w:val="24"/>
              </w:rPr>
              <w:t>名称</w:t>
            </w:r>
          </w:p>
        </w:tc>
        <w:tc>
          <w:tcPr>
            <w:tcW w:w="1436" w:type="pct"/>
            <w:vAlign w:val="center"/>
          </w:tcPr>
          <w:p>
            <w:pPr>
              <w:tabs>
                <w:tab w:val="left" w:pos="5580"/>
              </w:tabs>
              <w:ind w:left="163" w:hanging="163"/>
              <w:jc w:val="center"/>
              <w:rPr>
                <w:rFonts w:ascii="宋体" w:hAnsi="宋体"/>
                <w:sz w:val="24"/>
              </w:rPr>
            </w:pPr>
            <w:r>
              <w:rPr>
                <w:rFonts w:hint="eastAsia" w:ascii="宋体" w:hAnsi="宋体"/>
                <w:sz w:val="24"/>
              </w:rPr>
              <w:t>固定折扣率</w:t>
            </w:r>
          </w:p>
        </w:tc>
        <w:tc>
          <w:tcPr>
            <w:tcW w:w="1253" w:type="pct"/>
            <w:vAlign w:val="center"/>
          </w:tcPr>
          <w:p>
            <w:pPr>
              <w:tabs>
                <w:tab w:val="left" w:pos="5580"/>
              </w:tabs>
              <w:jc w:val="center"/>
              <w:rPr>
                <w:rFonts w:ascii="宋体" w:hAnsi="宋体"/>
                <w:sz w:val="24"/>
              </w:rPr>
            </w:pPr>
            <w:r>
              <w:rPr>
                <w:rFonts w:hint="eastAsia" w:ascii="宋体" w:hAnsi="宋体"/>
                <w:sz w:val="24"/>
              </w:rPr>
              <w:t>报价保证金</w:t>
            </w:r>
          </w:p>
        </w:tc>
        <w:tc>
          <w:tcPr>
            <w:tcW w:w="644" w:type="pct"/>
            <w:vAlign w:val="center"/>
          </w:tcPr>
          <w:p>
            <w:pPr>
              <w:tabs>
                <w:tab w:val="left" w:pos="5580"/>
              </w:tabs>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5" w:hRule="atLeast"/>
          <w:jc w:val="center"/>
        </w:trPr>
        <w:tc>
          <w:tcPr>
            <w:tcW w:w="696" w:type="pct"/>
            <w:vAlign w:val="center"/>
          </w:tcPr>
          <w:p>
            <w:pPr>
              <w:tabs>
                <w:tab w:val="left" w:pos="5580"/>
              </w:tabs>
              <w:ind w:left="-697"/>
              <w:jc w:val="center"/>
              <w:rPr>
                <w:rFonts w:ascii="宋体" w:hAnsi="宋体"/>
                <w:sz w:val="24"/>
              </w:rPr>
            </w:pPr>
          </w:p>
        </w:tc>
        <w:tc>
          <w:tcPr>
            <w:tcW w:w="968" w:type="pct"/>
            <w:vAlign w:val="center"/>
          </w:tcPr>
          <w:p>
            <w:pPr>
              <w:tabs>
                <w:tab w:val="left" w:pos="5580"/>
              </w:tabs>
              <w:ind w:left="-697"/>
              <w:jc w:val="center"/>
              <w:rPr>
                <w:rFonts w:ascii="宋体" w:hAnsi="宋体"/>
                <w:sz w:val="24"/>
              </w:rPr>
            </w:pPr>
          </w:p>
        </w:tc>
        <w:tc>
          <w:tcPr>
            <w:tcW w:w="1436" w:type="pct"/>
            <w:vAlign w:val="center"/>
          </w:tcPr>
          <w:p>
            <w:pPr>
              <w:tabs>
                <w:tab w:val="left" w:pos="5580"/>
              </w:tabs>
              <w:ind w:right="1200"/>
              <w:jc w:val="right"/>
              <w:rPr>
                <w:rFonts w:ascii="宋体" w:hAnsi="宋体"/>
                <w:sz w:val="24"/>
              </w:rPr>
            </w:pPr>
            <w:r>
              <w:rPr>
                <w:rFonts w:hint="eastAsia" w:ascii="宋体" w:hAnsi="宋体"/>
                <w:sz w:val="24"/>
                <w:u w:val="single"/>
              </w:rPr>
              <w:t xml:space="preserve">      </w:t>
            </w:r>
            <w:r>
              <w:rPr>
                <w:rFonts w:hint="eastAsia" w:ascii="宋体" w:hAnsi="宋体"/>
                <w:sz w:val="24"/>
              </w:rPr>
              <w:t>%</w:t>
            </w:r>
          </w:p>
        </w:tc>
        <w:tc>
          <w:tcPr>
            <w:tcW w:w="1253" w:type="pct"/>
            <w:vAlign w:val="center"/>
          </w:tcPr>
          <w:p>
            <w:pPr>
              <w:tabs>
                <w:tab w:val="left" w:pos="5580"/>
              </w:tabs>
              <w:jc w:val="right"/>
              <w:rPr>
                <w:rFonts w:ascii="宋体" w:hAnsi="宋体"/>
                <w:sz w:val="24"/>
              </w:rPr>
            </w:pPr>
          </w:p>
        </w:tc>
        <w:tc>
          <w:tcPr>
            <w:tcW w:w="644" w:type="pct"/>
            <w:vAlign w:val="center"/>
          </w:tcPr>
          <w:p>
            <w:pPr>
              <w:tabs>
                <w:tab w:val="left" w:pos="5580"/>
              </w:tabs>
              <w:jc w:val="center"/>
              <w:rPr>
                <w:rFonts w:ascii="宋体" w:hAnsi="宋体"/>
                <w:sz w:val="24"/>
              </w:rPr>
            </w:pPr>
          </w:p>
        </w:tc>
      </w:tr>
    </w:tbl>
    <w:p>
      <w:pPr>
        <w:autoSpaceDE w:val="0"/>
        <w:autoSpaceDN w:val="0"/>
        <w:adjustRightInd w:val="0"/>
        <w:jc w:val="left"/>
        <w:rPr>
          <w:rFonts w:ascii="宋体" w:hAnsi="宋体"/>
          <w:color w:val="000000"/>
          <w:kern w:val="0"/>
          <w:sz w:val="24"/>
        </w:rPr>
      </w:pPr>
    </w:p>
    <w:p>
      <w:pPr>
        <w:autoSpaceDE w:val="0"/>
        <w:autoSpaceDN w:val="0"/>
        <w:adjustRightInd w:val="0"/>
        <w:spacing w:line="360" w:lineRule="auto"/>
        <w:jc w:val="left"/>
        <w:rPr>
          <w:rFonts w:ascii="宋体" w:hAnsi="宋体"/>
          <w:color w:val="000000"/>
          <w:sz w:val="24"/>
        </w:rPr>
      </w:pPr>
      <w:r>
        <w:rPr>
          <w:rFonts w:ascii="宋体" w:hAnsi="宋体"/>
          <w:color w:val="000000"/>
          <w:kern w:val="0"/>
          <w:sz w:val="24"/>
        </w:rPr>
        <w:t>注：1</w:t>
      </w:r>
      <w:r>
        <w:rPr>
          <w:rFonts w:ascii="宋体" w:hAnsi="宋体"/>
          <w:color w:val="000000"/>
          <w:sz w:val="24"/>
        </w:rPr>
        <w:t>.此表中，每包的</w:t>
      </w:r>
      <w:r>
        <w:rPr>
          <w:rFonts w:hint="eastAsia" w:ascii="宋体" w:hAnsi="宋体"/>
          <w:color w:val="000000"/>
          <w:sz w:val="24"/>
        </w:rPr>
        <w:t>响应</w:t>
      </w:r>
      <w:r>
        <w:rPr>
          <w:rFonts w:ascii="宋体" w:hAnsi="宋体"/>
          <w:color w:val="000000"/>
          <w:sz w:val="24"/>
        </w:rPr>
        <w:t>报价应和《</w:t>
      </w:r>
      <w:r>
        <w:rPr>
          <w:rFonts w:hint="eastAsia" w:ascii="宋体" w:hAnsi="宋体"/>
          <w:color w:val="000000"/>
          <w:sz w:val="24"/>
        </w:rPr>
        <w:t>响应</w:t>
      </w:r>
      <w:r>
        <w:rPr>
          <w:rFonts w:ascii="宋体" w:hAnsi="宋体"/>
          <w:color w:val="000000"/>
          <w:sz w:val="24"/>
        </w:rPr>
        <w:t>分项报价表》一致。</w:t>
      </w:r>
    </w:p>
    <w:p>
      <w:pPr>
        <w:tabs>
          <w:tab w:val="left" w:pos="5580"/>
        </w:tabs>
        <w:spacing w:line="360" w:lineRule="auto"/>
        <w:ind w:firstLine="480" w:firstLineChars="200"/>
        <w:rPr>
          <w:rFonts w:ascii="宋体" w:hAnsi="宋体"/>
          <w:color w:val="000000"/>
          <w:sz w:val="24"/>
        </w:rPr>
      </w:pPr>
      <w:r>
        <w:rPr>
          <w:rFonts w:ascii="宋体" w:hAnsi="宋体"/>
          <w:color w:val="000000"/>
          <w:sz w:val="24"/>
        </w:rPr>
        <w:t>2.本表必须按包分别填写。</w:t>
      </w:r>
    </w:p>
    <w:p>
      <w:pPr>
        <w:autoSpaceDE w:val="0"/>
        <w:autoSpaceDN w:val="0"/>
        <w:adjustRightInd w:val="0"/>
        <w:snapToGrid w:val="0"/>
        <w:spacing w:before="25" w:after="25" w:line="360" w:lineRule="auto"/>
        <w:rPr>
          <w:rFonts w:ascii="宋体" w:hAnsi="宋体"/>
          <w:color w:val="000000"/>
          <w:sz w:val="24"/>
          <w:lang w:val="zh-CN"/>
        </w:rPr>
      </w:pPr>
    </w:p>
    <w:p>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lang w:val="zh-CN"/>
        </w:rPr>
        <w:t xml:space="preserve">                         </w:t>
      </w:r>
    </w:p>
    <w:p>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：____________</w:t>
      </w:r>
    </w:p>
    <w:p>
      <w:pPr>
        <w:tabs>
          <w:tab w:val="left" w:pos="5580"/>
        </w:tabs>
        <w:spacing w:line="360" w:lineRule="auto"/>
        <w:rPr>
          <w:rFonts w:ascii="宋体" w:hAnsi="宋体"/>
          <w:color w:val="000000"/>
          <w:sz w:val="24"/>
          <w:szCs w:val="20"/>
        </w:rPr>
      </w:pPr>
      <w:r>
        <w:rPr>
          <w:rFonts w:hint="eastAsia" w:ascii="宋体" w:hAnsi="宋体"/>
          <w:color w:val="000000"/>
          <w:sz w:val="24"/>
          <w:szCs w:val="20"/>
        </w:rPr>
        <w:t>授权代表签字：</w:t>
      </w:r>
      <w:r>
        <w:rPr>
          <w:rFonts w:ascii="宋体" w:hAnsi="宋体"/>
          <w:color w:val="000000"/>
          <w:sz w:val="24"/>
          <w:szCs w:val="20"/>
        </w:rPr>
        <w:t>___________</w:t>
      </w:r>
    </w:p>
    <w:p>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pPr>
        <w:widowControl/>
        <w:jc w:val="left"/>
        <w:rPr>
          <w:rFonts w:ascii="宋体" w:hAnsi="宋体"/>
          <w:color w:val="000000"/>
          <w:sz w:val="24"/>
          <w:szCs w:val="20"/>
        </w:rPr>
      </w:pPr>
      <w:bookmarkStart w:id="752" w:name="_Toc226337255"/>
      <w:bookmarkStart w:id="753" w:name="_Toc127151558"/>
      <w:bookmarkStart w:id="754" w:name="_Toc305158827"/>
      <w:bookmarkStart w:id="755" w:name="_Toc226965832"/>
      <w:bookmarkStart w:id="756" w:name="_Toc226965749"/>
      <w:bookmarkStart w:id="757" w:name="_Toc265228397"/>
      <w:bookmarkStart w:id="758" w:name="_Toc150480796"/>
      <w:bookmarkStart w:id="759" w:name="_Toc264969249"/>
      <w:bookmarkStart w:id="760" w:name="_Toc305158901"/>
      <w:bookmarkStart w:id="761" w:name="_Toc150774763"/>
      <w:bookmarkStart w:id="762" w:name="_Toc226309803"/>
      <w:bookmarkStart w:id="763" w:name="_Toc142311060"/>
      <w:bookmarkStart w:id="764" w:name="_Toc195842924"/>
      <w:r>
        <w:rPr>
          <w:rFonts w:ascii="宋体" w:hAnsi="宋体"/>
          <w:color w:val="000000"/>
          <w:sz w:val="24"/>
          <w:szCs w:val="20"/>
        </w:rPr>
        <w:br w:type="page"/>
      </w:r>
    </w:p>
    <w:p>
      <w:pPr>
        <w:spacing w:line="360" w:lineRule="auto"/>
        <w:outlineLvl w:val="2"/>
        <w:rPr>
          <w:rFonts w:ascii="宋体" w:hAnsi="宋体"/>
          <w:color w:val="000000"/>
          <w:sz w:val="24"/>
          <w:szCs w:val="20"/>
        </w:rPr>
      </w:pPr>
      <w:r>
        <w:rPr>
          <w:rFonts w:ascii="宋体" w:hAnsi="宋体"/>
          <w:color w:val="000000"/>
          <w:sz w:val="24"/>
          <w:szCs w:val="20"/>
        </w:rPr>
        <w:t xml:space="preserve">4  </w:t>
      </w:r>
      <w:r>
        <w:rPr>
          <w:rFonts w:hint="eastAsia" w:ascii="宋体" w:hAnsi="宋体"/>
          <w:color w:val="000000"/>
          <w:sz w:val="24"/>
          <w:szCs w:val="20"/>
        </w:rPr>
        <w:t>响应</w:t>
      </w:r>
      <w:r>
        <w:rPr>
          <w:rFonts w:ascii="宋体" w:hAnsi="宋体"/>
          <w:color w:val="000000"/>
          <w:sz w:val="24"/>
          <w:szCs w:val="20"/>
        </w:rPr>
        <w:t>分项报价表</w:t>
      </w:r>
      <w:bookmarkEnd w:id="752"/>
      <w:bookmarkEnd w:id="753"/>
      <w:bookmarkEnd w:id="754"/>
      <w:bookmarkEnd w:id="755"/>
      <w:bookmarkEnd w:id="756"/>
      <w:bookmarkEnd w:id="757"/>
      <w:bookmarkEnd w:id="758"/>
      <w:bookmarkEnd w:id="759"/>
      <w:bookmarkEnd w:id="760"/>
      <w:bookmarkEnd w:id="761"/>
      <w:bookmarkEnd w:id="762"/>
      <w:bookmarkEnd w:id="763"/>
      <w:bookmarkEnd w:id="764"/>
    </w:p>
    <w:p>
      <w:pPr>
        <w:spacing w:line="360" w:lineRule="exact"/>
        <w:jc w:val="center"/>
        <w:rPr>
          <w:rFonts w:ascii="宋体" w:hAnsi="宋体"/>
          <w:color w:val="000000"/>
          <w:sz w:val="36"/>
          <w:szCs w:val="36"/>
        </w:rPr>
      </w:pPr>
    </w:p>
    <w:p>
      <w:pPr>
        <w:spacing w:line="360" w:lineRule="exact"/>
        <w:jc w:val="center"/>
        <w:rPr>
          <w:rFonts w:ascii="宋体" w:hAnsi="宋体"/>
          <w:b/>
          <w:color w:val="000000"/>
          <w:sz w:val="36"/>
          <w:szCs w:val="36"/>
        </w:rPr>
      </w:pPr>
      <w:r>
        <w:rPr>
          <w:rFonts w:hint="eastAsia" w:ascii="宋体" w:hAnsi="宋体"/>
          <w:b/>
          <w:color w:val="000000"/>
          <w:sz w:val="36"/>
          <w:szCs w:val="36"/>
        </w:rPr>
        <w:t>响应分项报价表</w:t>
      </w:r>
    </w:p>
    <w:p>
      <w:pPr>
        <w:spacing w:line="260" w:lineRule="exact"/>
        <w:jc w:val="center"/>
        <w:rPr>
          <w:rFonts w:ascii="宋体" w:hAnsi="宋体"/>
          <w:color w:val="000000"/>
          <w:sz w:val="36"/>
          <w:szCs w:val="36"/>
        </w:rPr>
      </w:pPr>
    </w:p>
    <w:p>
      <w:pPr>
        <w:tabs>
          <w:tab w:val="left" w:pos="1800"/>
          <w:tab w:val="left" w:pos="5580"/>
        </w:tabs>
        <w:rPr>
          <w:color w:val="000000"/>
          <w:sz w:val="24"/>
        </w:rPr>
      </w:pPr>
      <w:r>
        <w:rPr>
          <w:color w:val="000000"/>
          <w:sz w:val="24"/>
        </w:rPr>
        <w:t>项目编号/包号：________ 项目名称：__________报价单位：人民币元</w:t>
      </w:r>
    </w:p>
    <w:tbl>
      <w:tblPr>
        <w:tblStyle w:val="4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2131"/>
        <w:gridCol w:w="1367"/>
        <w:gridCol w:w="1271"/>
        <w:gridCol w:w="1416"/>
        <w:gridCol w:w="113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74" w:type="pct"/>
            <w:vAlign w:val="center"/>
          </w:tcPr>
          <w:p>
            <w:pPr>
              <w:adjustRightInd w:val="0"/>
              <w:snapToGrid w:val="0"/>
              <w:jc w:val="left"/>
              <w:rPr>
                <w:b/>
                <w:color w:val="000000"/>
                <w:sz w:val="24"/>
              </w:rPr>
            </w:pPr>
            <w:r>
              <w:rPr>
                <w:b/>
                <w:color w:val="000000"/>
                <w:sz w:val="24"/>
              </w:rPr>
              <w:t>序号</w:t>
            </w:r>
          </w:p>
        </w:tc>
        <w:tc>
          <w:tcPr>
            <w:tcW w:w="1147" w:type="pct"/>
            <w:vAlign w:val="center"/>
          </w:tcPr>
          <w:p>
            <w:pPr>
              <w:adjustRightInd w:val="0"/>
              <w:snapToGrid w:val="0"/>
              <w:jc w:val="left"/>
              <w:rPr>
                <w:b/>
                <w:color w:val="000000"/>
                <w:sz w:val="24"/>
              </w:rPr>
            </w:pPr>
            <w:r>
              <w:rPr>
                <w:b/>
                <w:color w:val="000000"/>
                <w:sz w:val="24"/>
              </w:rPr>
              <w:t>分项名称</w:t>
            </w:r>
          </w:p>
        </w:tc>
        <w:tc>
          <w:tcPr>
            <w:tcW w:w="736" w:type="pct"/>
            <w:vAlign w:val="center"/>
          </w:tcPr>
          <w:p>
            <w:pPr>
              <w:adjustRightInd w:val="0"/>
              <w:snapToGrid w:val="0"/>
              <w:jc w:val="left"/>
              <w:rPr>
                <w:b/>
                <w:color w:val="000000"/>
                <w:sz w:val="24"/>
              </w:rPr>
            </w:pPr>
            <w:r>
              <w:rPr>
                <w:rFonts w:hint="eastAsia"/>
                <w:b/>
                <w:color w:val="000000"/>
                <w:sz w:val="24"/>
              </w:rPr>
              <w:t>规格或型号</w:t>
            </w:r>
          </w:p>
        </w:tc>
        <w:tc>
          <w:tcPr>
            <w:tcW w:w="684" w:type="pct"/>
            <w:vAlign w:val="center"/>
          </w:tcPr>
          <w:p>
            <w:pPr>
              <w:adjustRightInd w:val="0"/>
              <w:snapToGrid w:val="0"/>
              <w:jc w:val="left"/>
              <w:rPr>
                <w:b/>
                <w:color w:val="000000"/>
                <w:sz w:val="24"/>
              </w:rPr>
            </w:pPr>
            <w:r>
              <w:rPr>
                <w:rFonts w:hint="eastAsia"/>
                <w:b/>
                <w:color w:val="000000"/>
                <w:sz w:val="24"/>
              </w:rPr>
              <w:t>制造商/服务承接人</w:t>
            </w:r>
          </w:p>
        </w:tc>
        <w:tc>
          <w:tcPr>
            <w:tcW w:w="762" w:type="pct"/>
            <w:vAlign w:val="center"/>
          </w:tcPr>
          <w:p>
            <w:pPr>
              <w:adjustRightInd w:val="0"/>
              <w:snapToGrid w:val="0"/>
              <w:jc w:val="left"/>
              <w:rPr>
                <w:b/>
                <w:color w:val="000000"/>
                <w:sz w:val="24"/>
              </w:rPr>
            </w:pPr>
            <w:r>
              <w:rPr>
                <w:rFonts w:hint="eastAsia"/>
                <w:b/>
                <w:color w:val="000000"/>
                <w:sz w:val="24"/>
              </w:rPr>
              <w:t>固定折扣率</w:t>
            </w:r>
          </w:p>
        </w:tc>
        <w:tc>
          <w:tcPr>
            <w:tcW w:w="613" w:type="pct"/>
            <w:vAlign w:val="center"/>
          </w:tcPr>
          <w:p>
            <w:pPr>
              <w:adjustRightInd w:val="0"/>
              <w:snapToGrid w:val="0"/>
              <w:jc w:val="left"/>
              <w:rPr>
                <w:b/>
                <w:color w:val="000000"/>
                <w:sz w:val="24"/>
              </w:rPr>
            </w:pPr>
            <w:r>
              <w:rPr>
                <w:rFonts w:hint="eastAsia"/>
                <w:b/>
                <w:color w:val="000000"/>
                <w:sz w:val="24"/>
              </w:rPr>
              <w:t>折扣后结算单价</w:t>
            </w:r>
            <w:r>
              <w:rPr>
                <w:b/>
                <w:color w:val="000000"/>
                <w:sz w:val="24"/>
              </w:rPr>
              <w:t>（元）</w:t>
            </w:r>
          </w:p>
        </w:tc>
        <w:tc>
          <w:tcPr>
            <w:tcW w:w="780" w:type="pct"/>
            <w:vAlign w:val="center"/>
          </w:tcPr>
          <w:p>
            <w:pPr>
              <w:adjustRightInd w:val="0"/>
              <w:snapToGrid w:val="0"/>
              <w:jc w:val="left"/>
              <w:rPr>
                <w:b/>
                <w:color w:val="000000"/>
                <w:sz w:val="24"/>
              </w:rPr>
            </w:pPr>
            <w:r>
              <w:rPr>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74" w:type="pct"/>
            <w:vAlign w:val="center"/>
          </w:tcPr>
          <w:p>
            <w:pPr>
              <w:adjustRightInd w:val="0"/>
              <w:snapToGrid w:val="0"/>
              <w:jc w:val="center"/>
              <w:rPr>
                <w:color w:val="000000"/>
                <w:sz w:val="24"/>
              </w:rPr>
            </w:pPr>
            <w:r>
              <w:rPr>
                <w:color w:val="000000"/>
                <w:sz w:val="24"/>
              </w:rPr>
              <w:t>1</w:t>
            </w:r>
          </w:p>
        </w:tc>
        <w:tc>
          <w:tcPr>
            <w:tcW w:w="1147" w:type="pct"/>
            <w:vAlign w:val="center"/>
          </w:tcPr>
          <w:p>
            <w:pPr>
              <w:adjustRightInd w:val="0"/>
              <w:snapToGrid w:val="0"/>
              <w:jc w:val="left"/>
              <w:rPr>
                <w:color w:val="000000"/>
                <w:sz w:val="24"/>
              </w:rPr>
            </w:pPr>
          </w:p>
        </w:tc>
        <w:tc>
          <w:tcPr>
            <w:tcW w:w="736" w:type="pct"/>
            <w:vAlign w:val="center"/>
          </w:tcPr>
          <w:p>
            <w:pPr>
              <w:adjustRightInd w:val="0"/>
              <w:snapToGrid w:val="0"/>
              <w:jc w:val="left"/>
              <w:rPr>
                <w:color w:val="000000"/>
                <w:sz w:val="24"/>
              </w:rPr>
            </w:pPr>
          </w:p>
        </w:tc>
        <w:tc>
          <w:tcPr>
            <w:tcW w:w="684" w:type="pct"/>
            <w:vAlign w:val="center"/>
          </w:tcPr>
          <w:p>
            <w:pPr>
              <w:adjustRightInd w:val="0"/>
              <w:snapToGrid w:val="0"/>
              <w:jc w:val="left"/>
              <w:rPr>
                <w:color w:val="000000"/>
                <w:sz w:val="24"/>
              </w:rPr>
            </w:pPr>
          </w:p>
        </w:tc>
        <w:tc>
          <w:tcPr>
            <w:tcW w:w="762" w:type="pct"/>
            <w:vAlign w:val="center"/>
          </w:tcPr>
          <w:p>
            <w:pPr>
              <w:adjustRightInd w:val="0"/>
              <w:snapToGrid w:val="0"/>
              <w:jc w:val="left"/>
              <w:rPr>
                <w:color w:val="000000"/>
                <w:sz w:val="24"/>
              </w:rPr>
            </w:pPr>
          </w:p>
        </w:tc>
        <w:tc>
          <w:tcPr>
            <w:tcW w:w="613" w:type="pct"/>
            <w:vAlign w:val="center"/>
          </w:tcPr>
          <w:p>
            <w:pPr>
              <w:adjustRightInd w:val="0"/>
              <w:snapToGrid w:val="0"/>
              <w:jc w:val="left"/>
              <w:rPr>
                <w:color w:val="000000"/>
                <w:sz w:val="24"/>
              </w:rPr>
            </w:pPr>
          </w:p>
        </w:tc>
        <w:tc>
          <w:tcPr>
            <w:tcW w:w="780"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74" w:type="pct"/>
            <w:vAlign w:val="center"/>
          </w:tcPr>
          <w:p>
            <w:pPr>
              <w:adjustRightInd w:val="0"/>
              <w:snapToGrid w:val="0"/>
              <w:jc w:val="center"/>
              <w:rPr>
                <w:color w:val="000000"/>
                <w:sz w:val="24"/>
              </w:rPr>
            </w:pPr>
            <w:r>
              <w:rPr>
                <w:color w:val="000000"/>
                <w:sz w:val="24"/>
              </w:rPr>
              <w:t>2</w:t>
            </w:r>
          </w:p>
        </w:tc>
        <w:tc>
          <w:tcPr>
            <w:tcW w:w="1147" w:type="pct"/>
            <w:vAlign w:val="center"/>
          </w:tcPr>
          <w:p>
            <w:pPr>
              <w:adjustRightInd w:val="0"/>
              <w:snapToGrid w:val="0"/>
              <w:jc w:val="left"/>
              <w:rPr>
                <w:color w:val="000000"/>
                <w:sz w:val="24"/>
              </w:rPr>
            </w:pPr>
          </w:p>
        </w:tc>
        <w:tc>
          <w:tcPr>
            <w:tcW w:w="736" w:type="pct"/>
            <w:vAlign w:val="center"/>
          </w:tcPr>
          <w:p>
            <w:pPr>
              <w:adjustRightInd w:val="0"/>
              <w:snapToGrid w:val="0"/>
              <w:jc w:val="left"/>
              <w:rPr>
                <w:color w:val="000000"/>
                <w:sz w:val="24"/>
              </w:rPr>
            </w:pPr>
          </w:p>
        </w:tc>
        <w:tc>
          <w:tcPr>
            <w:tcW w:w="684" w:type="pct"/>
            <w:vAlign w:val="center"/>
          </w:tcPr>
          <w:p>
            <w:pPr>
              <w:adjustRightInd w:val="0"/>
              <w:snapToGrid w:val="0"/>
              <w:jc w:val="left"/>
              <w:rPr>
                <w:color w:val="000000"/>
                <w:sz w:val="24"/>
              </w:rPr>
            </w:pPr>
          </w:p>
        </w:tc>
        <w:tc>
          <w:tcPr>
            <w:tcW w:w="762" w:type="pct"/>
            <w:vAlign w:val="center"/>
          </w:tcPr>
          <w:p>
            <w:pPr>
              <w:adjustRightInd w:val="0"/>
              <w:snapToGrid w:val="0"/>
              <w:jc w:val="left"/>
              <w:rPr>
                <w:color w:val="000000"/>
                <w:sz w:val="24"/>
              </w:rPr>
            </w:pPr>
          </w:p>
        </w:tc>
        <w:tc>
          <w:tcPr>
            <w:tcW w:w="613" w:type="pct"/>
            <w:vAlign w:val="center"/>
          </w:tcPr>
          <w:p>
            <w:pPr>
              <w:adjustRightInd w:val="0"/>
              <w:snapToGrid w:val="0"/>
              <w:jc w:val="left"/>
              <w:rPr>
                <w:color w:val="000000"/>
                <w:sz w:val="24"/>
              </w:rPr>
            </w:pPr>
          </w:p>
        </w:tc>
        <w:tc>
          <w:tcPr>
            <w:tcW w:w="780"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74" w:type="pct"/>
            <w:vAlign w:val="center"/>
          </w:tcPr>
          <w:p>
            <w:pPr>
              <w:adjustRightInd w:val="0"/>
              <w:snapToGrid w:val="0"/>
              <w:jc w:val="center"/>
              <w:rPr>
                <w:color w:val="000000"/>
                <w:sz w:val="24"/>
              </w:rPr>
            </w:pPr>
          </w:p>
        </w:tc>
        <w:tc>
          <w:tcPr>
            <w:tcW w:w="1147" w:type="pct"/>
            <w:vAlign w:val="center"/>
          </w:tcPr>
          <w:p>
            <w:pPr>
              <w:adjustRightInd w:val="0"/>
              <w:snapToGrid w:val="0"/>
              <w:jc w:val="left"/>
              <w:rPr>
                <w:color w:val="000000"/>
                <w:sz w:val="24"/>
              </w:rPr>
            </w:pPr>
          </w:p>
        </w:tc>
        <w:tc>
          <w:tcPr>
            <w:tcW w:w="736" w:type="pct"/>
            <w:vAlign w:val="center"/>
          </w:tcPr>
          <w:p>
            <w:pPr>
              <w:adjustRightInd w:val="0"/>
              <w:snapToGrid w:val="0"/>
              <w:jc w:val="left"/>
              <w:rPr>
                <w:color w:val="000000"/>
                <w:sz w:val="24"/>
              </w:rPr>
            </w:pPr>
          </w:p>
        </w:tc>
        <w:tc>
          <w:tcPr>
            <w:tcW w:w="684" w:type="pct"/>
            <w:vAlign w:val="center"/>
          </w:tcPr>
          <w:p>
            <w:pPr>
              <w:adjustRightInd w:val="0"/>
              <w:snapToGrid w:val="0"/>
              <w:jc w:val="left"/>
              <w:rPr>
                <w:color w:val="000000"/>
                <w:sz w:val="24"/>
              </w:rPr>
            </w:pPr>
          </w:p>
        </w:tc>
        <w:tc>
          <w:tcPr>
            <w:tcW w:w="762" w:type="pct"/>
            <w:vAlign w:val="center"/>
          </w:tcPr>
          <w:p>
            <w:pPr>
              <w:adjustRightInd w:val="0"/>
              <w:snapToGrid w:val="0"/>
              <w:jc w:val="left"/>
              <w:rPr>
                <w:color w:val="000000"/>
                <w:sz w:val="24"/>
              </w:rPr>
            </w:pPr>
          </w:p>
        </w:tc>
        <w:tc>
          <w:tcPr>
            <w:tcW w:w="613" w:type="pct"/>
            <w:vAlign w:val="center"/>
          </w:tcPr>
          <w:p>
            <w:pPr>
              <w:adjustRightInd w:val="0"/>
              <w:snapToGrid w:val="0"/>
              <w:jc w:val="left"/>
              <w:rPr>
                <w:color w:val="000000"/>
                <w:sz w:val="24"/>
              </w:rPr>
            </w:pPr>
          </w:p>
        </w:tc>
        <w:tc>
          <w:tcPr>
            <w:tcW w:w="780"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74" w:type="pct"/>
            <w:vAlign w:val="center"/>
          </w:tcPr>
          <w:p>
            <w:pPr>
              <w:adjustRightInd w:val="0"/>
              <w:snapToGrid w:val="0"/>
              <w:jc w:val="center"/>
              <w:rPr>
                <w:color w:val="000000"/>
                <w:sz w:val="24"/>
              </w:rPr>
            </w:pPr>
          </w:p>
        </w:tc>
        <w:tc>
          <w:tcPr>
            <w:tcW w:w="1147" w:type="pct"/>
            <w:vAlign w:val="center"/>
          </w:tcPr>
          <w:p>
            <w:pPr>
              <w:adjustRightInd w:val="0"/>
              <w:snapToGrid w:val="0"/>
              <w:jc w:val="left"/>
              <w:rPr>
                <w:color w:val="000000"/>
                <w:sz w:val="24"/>
              </w:rPr>
            </w:pPr>
          </w:p>
        </w:tc>
        <w:tc>
          <w:tcPr>
            <w:tcW w:w="736" w:type="pct"/>
            <w:vAlign w:val="center"/>
          </w:tcPr>
          <w:p>
            <w:pPr>
              <w:adjustRightInd w:val="0"/>
              <w:snapToGrid w:val="0"/>
              <w:jc w:val="left"/>
              <w:rPr>
                <w:color w:val="000000"/>
                <w:sz w:val="24"/>
              </w:rPr>
            </w:pPr>
          </w:p>
        </w:tc>
        <w:tc>
          <w:tcPr>
            <w:tcW w:w="684" w:type="pct"/>
            <w:vAlign w:val="center"/>
          </w:tcPr>
          <w:p>
            <w:pPr>
              <w:adjustRightInd w:val="0"/>
              <w:snapToGrid w:val="0"/>
              <w:jc w:val="left"/>
              <w:rPr>
                <w:color w:val="000000"/>
                <w:sz w:val="24"/>
              </w:rPr>
            </w:pPr>
          </w:p>
        </w:tc>
        <w:tc>
          <w:tcPr>
            <w:tcW w:w="762" w:type="pct"/>
            <w:vAlign w:val="center"/>
          </w:tcPr>
          <w:p>
            <w:pPr>
              <w:adjustRightInd w:val="0"/>
              <w:snapToGrid w:val="0"/>
              <w:jc w:val="left"/>
              <w:rPr>
                <w:color w:val="000000"/>
                <w:sz w:val="24"/>
              </w:rPr>
            </w:pPr>
          </w:p>
        </w:tc>
        <w:tc>
          <w:tcPr>
            <w:tcW w:w="613" w:type="pct"/>
            <w:vAlign w:val="center"/>
          </w:tcPr>
          <w:p>
            <w:pPr>
              <w:adjustRightInd w:val="0"/>
              <w:snapToGrid w:val="0"/>
              <w:jc w:val="left"/>
              <w:rPr>
                <w:color w:val="000000"/>
                <w:sz w:val="24"/>
              </w:rPr>
            </w:pPr>
          </w:p>
        </w:tc>
        <w:tc>
          <w:tcPr>
            <w:tcW w:w="780"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74" w:type="pct"/>
            <w:vAlign w:val="center"/>
          </w:tcPr>
          <w:p>
            <w:pPr>
              <w:adjustRightInd w:val="0"/>
              <w:snapToGrid w:val="0"/>
              <w:jc w:val="center"/>
              <w:rPr>
                <w:color w:val="000000"/>
                <w:sz w:val="24"/>
              </w:rPr>
            </w:pPr>
          </w:p>
        </w:tc>
        <w:tc>
          <w:tcPr>
            <w:tcW w:w="1147" w:type="pct"/>
            <w:vAlign w:val="center"/>
          </w:tcPr>
          <w:p>
            <w:pPr>
              <w:adjustRightInd w:val="0"/>
              <w:snapToGrid w:val="0"/>
              <w:jc w:val="left"/>
              <w:rPr>
                <w:color w:val="000000"/>
                <w:sz w:val="24"/>
              </w:rPr>
            </w:pPr>
            <w:r>
              <w:rPr>
                <w:color w:val="000000"/>
                <w:sz w:val="24"/>
              </w:rPr>
              <w:t>…</w:t>
            </w:r>
          </w:p>
        </w:tc>
        <w:tc>
          <w:tcPr>
            <w:tcW w:w="736" w:type="pct"/>
            <w:vAlign w:val="center"/>
          </w:tcPr>
          <w:p>
            <w:pPr>
              <w:adjustRightInd w:val="0"/>
              <w:snapToGrid w:val="0"/>
              <w:jc w:val="left"/>
              <w:rPr>
                <w:color w:val="000000"/>
                <w:sz w:val="24"/>
              </w:rPr>
            </w:pPr>
          </w:p>
        </w:tc>
        <w:tc>
          <w:tcPr>
            <w:tcW w:w="684" w:type="pct"/>
            <w:vAlign w:val="center"/>
          </w:tcPr>
          <w:p>
            <w:pPr>
              <w:adjustRightInd w:val="0"/>
              <w:snapToGrid w:val="0"/>
              <w:jc w:val="left"/>
              <w:rPr>
                <w:color w:val="000000"/>
                <w:sz w:val="24"/>
              </w:rPr>
            </w:pPr>
          </w:p>
        </w:tc>
        <w:tc>
          <w:tcPr>
            <w:tcW w:w="762" w:type="pct"/>
            <w:vAlign w:val="center"/>
          </w:tcPr>
          <w:p>
            <w:pPr>
              <w:adjustRightInd w:val="0"/>
              <w:snapToGrid w:val="0"/>
              <w:jc w:val="left"/>
              <w:rPr>
                <w:color w:val="000000"/>
                <w:sz w:val="24"/>
              </w:rPr>
            </w:pPr>
          </w:p>
        </w:tc>
        <w:tc>
          <w:tcPr>
            <w:tcW w:w="613" w:type="pct"/>
            <w:vAlign w:val="center"/>
          </w:tcPr>
          <w:p>
            <w:pPr>
              <w:adjustRightInd w:val="0"/>
              <w:snapToGrid w:val="0"/>
              <w:jc w:val="left"/>
              <w:rPr>
                <w:color w:val="000000"/>
                <w:sz w:val="24"/>
              </w:rPr>
            </w:pPr>
          </w:p>
        </w:tc>
        <w:tc>
          <w:tcPr>
            <w:tcW w:w="780" w:type="pct"/>
            <w:vAlign w:val="center"/>
          </w:tcPr>
          <w:p>
            <w:pPr>
              <w:adjustRightInd w:val="0"/>
              <w:snapToGrid w:val="0"/>
              <w:jc w:val="left"/>
              <w:rPr>
                <w:color w:val="000000"/>
                <w:sz w:val="24"/>
              </w:rPr>
            </w:pPr>
          </w:p>
        </w:tc>
      </w:tr>
    </w:tbl>
    <w:p>
      <w:pPr>
        <w:pStyle w:val="6"/>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w:t>
      </w:r>
      <w:r>
        <w:rPr>
          <w:rFonts w:hint="eastAsia"/>
          <w:color w:val="000000"/>
          <w:sz w:val="24"/>
        </w:rPr>
        <w:t>比选文件</w:t>
      </w:r>
      <w:r>
        <w:rPr>
          <w:color w:val="000000"/>
          <w:sz w:val="24"/>
        </w:rPr>
        <w:t>。</w:t>
      </w:r>
    </w:p>
    <w:p>
      <w:pPr>
        <w:tabs>
          <w:tab w:val="left" w:pos="1800"/>
          <w:tab w:val="left" w:pos="5580"/>
        </w:tabs>
        <w:ind w:firstLine="480" w:firstLineChars="200"/>
        <w:jc w:val="left"/>
        <w:rPr>
          <w:color w:val="000000"/>
          <w:sz w:val="24"/>
        </w:rPr>
      </w:pPr>
      <w:r>
        <w:rPr>
          <w:color w:val="000000"/>
          <w:sz w:val="24"/>
        </w:rPr>
        <w:t>3.</w:t>
      </w:r>
      <w:r>
        <w:rPr>
          <w:rFonts w:hint="eastAsia"/>
          <w:color w:val="000000"/>
          <w:sz w:val="24"/>
        </w:rPr>
        <w:t>制造商/服务承接人列填写说明：如果是消防器材设备，应明确产品制造商名称；如果是灭火器检修，填写服务承接人（即供应商单位名称）。</w:t>
      </w:r>
    </w:p>
    <w:p>
      <w:pPr>
        <w:pStyle w:val="39"/>
        <w:ind w:left="0" w:leftChars="0" w:firstLine="480"/>
      </w:pPr>
      <w:r>
        <w:rPr>
          <w:rFonts w:hint="eastAsia"/>
          <w:color w:val="000000"/>
          <w:sz w:val="24"/>
        </w:rPr>
        <w:t>4.</w:t>
      </w:r>
      <w:r>
        <w:rPr>
          <w:rFonts w:hint="eastAsia" w:hAnsi="宋体"/>
          <w:kern w:val="0"/>
          <w:sz w:val="24"/>
          <w:szCs w:val="21"/>
        </w:rPr>
        <w:t>报价应包含本项目从开始到实施完毕所发生的全部费用。</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rFonts w:hint="eastAsia"/>
          <w:color w:val="000000"/>
          <w:sz w:val="24"/>
        </w:rPr>
        <w:t>供应商</w:t>
      </w:r>
      <w:r>
        <w:rPr>
          <w:color w:val="000000"/>
          <w:sz w:val="24"/>
        </w:rPr>
        <w:t>名称（加盖公章）</w:t>
      </w:r>
      <w:r>
        <w:rPr>
          <w:color w:val="000000"/>
          <w:sz w:val="24"/>
          <w:lang w:val="zh-CN"/>
        </w:rPr>
        <w:t>：____________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pStyle w:val="23"/>
        <w:spacing w:line="360" w:lineRule="auto"/>
        <w:ind w:firstLine="482"/>
        <w:rPr>
          <w:rFonts w:hint="default" w:hAnsi="宋体"/>
          <w:color w:val="000000"/>
          <w:sz w:val="24"/>
        </w:rPr>
      </w:pPr>
      <w:r>
        <w:rPr>
          <w:rFonts w:hAnsi="宋体"/>
          <w:color w:val="000000"/>
          <w:sz w:val="24"/>
        </w:rPr>
        <w:br w:type="page"/>
      </w:r>
    </w:p>
    <w:p>
      <w:pPr>
        <w:spacing w:line="360" w:lineRule="auto"/>
        <w:outlineLvl w:val="2"/>
        <w:rPr>
          <w:rFonts w:ascii="宋体" w:hAnsi="宋体"/>
          <w:color w:val="000000"/>
          <w:sz w:val="24"/>
          <w:szCs w:val="20"/>
        </w:rPr>
      </w:pPr>
      <w:bookmarkStart w:id="765" w:name="_Toc150480798"/>
      <w:bookmarkStart w:id="766" w:name="_Toc265228400"/>
      <w:bookmarkStart w:id="767" w:name="_Toc226337258"/>
      <w:bookmarkStart w:id="768" w:name="_Toc226309806"/>
      <w:bookmarkStart w:id="769" w:name="_Toc226965835"/>
      <w:bookmarkStart w:id="770" w:name="_Toc226965752"/>
      <w:bookmarkStart w:id="771" w:name="_Toc195842927"/>
      <w:bookmarkStart w:id="772" w:name="_Toc142311062"/>
      <w:bookmarkStart w:id="773" w:name="_Toc305158830"/>
      <w:bookmarkStart w:id="774" w:name="_Toc127151562"/>
      <w:bookmarkStart w:id="775" w:name="_Toc264969252"/>
      <w:bookmarkStart w:id="776" w:name="_Toc305158904"/>
      <w:bookmarkStart w:id="777" w:name="_Toc150774765"/>
      <w:bookmarkStart w:id="778" w:name="_Toc226965751"/>
      <w:bookmarkStart w:id="779" w:name="_Toc305158829"/>
      <w:bookmarkStart w:id="780" w:name="_Toc142311061"/>
      <w:bookmarkStart w:id="781" w:name="_Toc226309805"/>
      <w:bookmarkStart w:id="782" w:name="_Toc127151561"/>
      <w:bookmarkStart w:id="783" w:name="_Toc150774764"/>
      <w:bookmarkStart w:id="784" w:name="_Toc150480797"/>
      <w:bookmarkStart w:id="785" w:name="_Toc265228399"/>
      <w:bookmarkStart w:id="786" w:name="_Toc226337257"/>
      <w:bookmarkStart w:id="787" w:name="_Toc264969251"/>
      <w:bookmarkStart w:id="788" w:name="_Toc226965834"/>
      <w:bookmarkStart w:id="789" w:name="_Toc305158903"/>
      <w:bookmarkStart w:id="790" w:name="_Toc195842926"/>
      <w:r>
        <w:rPr>
          <w:rFonts w:hint="eastAsia" w:ascii="宋体" w:hAnsi="宋体"/>
          <w:color w:val="000000"/>
          <w:sz w:val="24"/>
          <w:szCs w:val="20"/>
        </w:rPr>
        <w:t>5</w:t>
      </w:r>
      <w:r>
        <w:rPr>
          <w:rFonts w:ascii="宋体" w:hAnsi="宋体"/>
          <w:color w:val="000000"/>
          <w:sz w:val="24"/>
          <w:szCs w:val="20"/>
        </w:rPr>
        <w:t xml:space="preserve">  合同条款偏离表</w:t>
      </w:r>
      <w:bookmarkEnd w:id="765"/>
      <w:bookmarkEnd w:id="766"/>
      <w:bookmarkEnd w:id="767"/>
      <w:bookmarkEnd w:id="768"/>
      <w:bookmarkEnd w:id="769"/>
      <w:bookmarkEnd w:id="770"/>
      <w:bookmarkEnd w:id="771"/>
      <w:bookmarkEnd w:id="772"/>
      <w:bookmarkEnd w:id="773"/>
      <w:bookmarkEnd w:id="774"/>
      <w:bookmarkEnd w:id="775"/>
      <w:bookmarkEnd w:id="776"/>
      <w:bookmarkEnd w:id="777"/>
      <w:r>
        <w:rPr>
          <w:rFonts w:ascii="宋体" w:hAnsi="宋体"/>
          <w:color w:val="000000"/>
          <w:sz w:val="24"/>
          <w:szCs w:val="20"/>
        </w:rPr>
        <w:t>（实质性格式）</w:t>
      </w:r>
    </w:p>
    <w:p>
      <w:pPr>
        <w:spacing w:line="360" w:lineRule="auto"/>
        <w:rPr>
          <w:rFonts w:ascii="宋体" w:hAnsi="宋体"/>
          <w:color w:val="000000"/>
          <w:sz w:val="24"/>
          <w:szCs w:val="20"/>
        </w:rPr>
      </w:pPr>
    </w:p>
    <w:p>
      <w:pPr>
        <w:tabs>
          <w:tab w:val="left" w:pos="2775"/>
          <w:tab w:val="center" w:pos="4153"/>
        </w:tabs>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合同条款偏离表</w:t>
      </w:r>
    </w:p>
    <w:p>
      <w:pPr>
        <w:spacing w:line="360" w:lineRule="auto"/>
        <w:rPr>
          <w:rFonts w:ascii="宋体" w:hAnsi="宋体"/>
          <w:color w:val="000000"/>
          <w:sz w:val="24"/>
          <w:szCs w:val="20"/>
        </w:rPr>
      </w:pPr>
    </w:p>
    <w:p>
      <w:pPr>
        <w:tabs>
          <w:tab w:val="left" w:pos="1800"/>
          <w:tab w:val="left" w:pos="5580"/>
        </w:tabs>
        <w:spacing w:line="360" w:lineRule="auto"/>
        <w:ind w:firstLine="360" w:firstLineChars="150"/>
        <w:jc w:val="left"/>
        <w:rPr>
          <w:rFonts w:ascii="宋体" w:hAnsi="宋体"/>
          <w:color w:val="000000"/>
          <w:sz w:val="24"/>
        </w:rPr>
      </w:pPr>
      <w:r>
        <w:rPr>
          <w:rFonts w:ascii="宋体" w:hAnsi="宋体"/>
          <w:color w:val="000000"/>
          <w:sz w:val="24"/>
        </w:rPr>
        <w:t>项目编号/包号：_____________________     项目名称：_____________</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91"/>
        <w:gridCol w:w="1981"/>
        <w:gridCol w:w="1982"/>
        <w:gridCol w:w="242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rFonts w:ascii="宋体" w:hAnsi="宋体"/>
                <w:b/>
                <w:color w:val="000000"/>
                <w:sz w:val="24"/>
              </w:rPr>
            </w:pPr>
            <w:r>
              <w:rPr>
                <w:rFonts w:ascii="宋体" w:hAnsi="宋体"/>
                <w:b/>
                <w:color w:val="000000"/>
                <w:sz w:val="24"/>
              </w:rPr>
              <w:t>对本</w:t>
            </w:r>
            <w:r>
              <w:rPr>
                <w:rFonts w:hint="eastAsia" w:ascii="宋体" w:hAnsi="宋体"/>
                <w:b/>
                <w:color w:val="000000"/>
                <w:sz w:val="24"/>
              </w:rPr>
              <w:t>项目</w:t>
            </w:r>
            <w:r>
              <w:rPr>
                <w:rFonts w:ascii="宋体" w:hAnsi="宋体"/>
                <w:b/>
                <w:color w:val="000000"/>
                <w:sz w:val="24"/>
              </w:rPr>
              <w:t>合同条款的偏离情况（请进行勾选）：</w:t>
            </w:r>
          </w:p>
          <w:p>
            <w:pPr>
              <w:adjustRightInd w:val="0"/>
              <w:snapToGrid w:val="0"/>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pPr>
              <w:adjustRightInd w:val="0"/>
              <w:snapToGrid w:val="0"/>
              <w:jc w:val="left"/>
              <w:rPr>
                <w:rFonts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如有偏离，</w:t>
            </w:r>
            <w:r>
              <w:rPr>
                <w:rFonts w:ascii="宋体" w:hAnsi="宋体"/>
                <w:color w:val="000000"/>
                <w:sz w:val="24"/>
              </w:rPr>
              <w:t>则</w:t>
            </w:r>
            <w:r>
              <w:rPr>
                <w:rFonts w:hint="eastAsia" w:ascii="宋体" w:hAnsi="宋体"/>
                <w:color w:val="000000"/>
                <w:sz w:val="24"/>
              </w:rPr>
              <w:t>应</w:t>
            </w:r>
            <w:r>
              <w:rPr>
                <w:rFonts w:ascii="宋体" w:hAnsi="宋体"/>
                <w:color w:val="000000"/>
                <w:sz w:val="24"/>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宋体" w:hAnsi="宋体"/>
                <w:color w:val="000000"/>
                <w:sz w:val="24"/>
              </w:rPr>
            </w:pPr>
            <w:r>
              <w:rPr>
                <w:rFonts w:ascii="宋体" w:hAnsi="宋体"/>
                <w:color w:val="000000"/>
                <w:sz w:val="24"/>
              </w:rPr>
              <w:t>序号</w:t>
            </w:r>
          </w:p>
        </w:tc>
        <w:tc>
          <w:tcPr>
            <w:tcW w:w="1301" w:type="dxa"/>
            <w:vAlign w:val="center"/>
          </w:tcPr>
          <w:p>
            <w:pPr>
              <w:adjustRightInd w:val="0"/>
              <w:snapToGrid w:val="0"/>
              <w:jc w:val="center"/>
              <w:rPr>
                <w:rFonts w:ascii="宋体" w:hAnsi="宋体"/>
                <w:color w:val="000000"/>
                <w:sz w:val="24"/>
              </w:rPr>
            </w:pPr>
            <w:r>
              <w:rPr>
                <w:rFonts w:hint="eastAsia" w:ascii="宋体" w:hAnsi="宋体"/>
                <w:color w:val="000000"/>
                <w:sz w:val="24"/>
                <w:szCs w:val="21"/>
              </w:rPr>
              <w:t>比选文件</w:t>
            </w:r>
            <w:r>
              <w:rPr>
                <w:rFonts w:ascii="宋体" w:hAnsi="宋体"/>
                <w:color w:val="000000"/>
                <w:sz w:val="24"/>
              </w:rPr>
              <w:t>条目号（页码）</w:t>
            </w:r>
          </w:p>
        </w:tc>
        <w:tc>
          <w:tcPr>
            <w:tcW w:w="2007" w:type="dxa"/>
            <w:vAlign w:val="center"/>
          </w:tcPr>
          <w:p>
            <w:pPr>
              <w:adjustRightInd w:val="0"/>
              <w:snapToGrid w:val="0"/>
              <w:jc w:val="center"/>
              <w:rPr>
                <w:rFonts w:ascii="宋体" w:hAnsi="宋体"/>
                <w:color w:val="000000"/>
                <w:sz w:val="24"/>
              </w:rPr>
            </w:pPr>
            <w:r>
              <w:rPr>
                <w:rFonts w:hint="eastAsia" w:ascii="宋体" w:hAnsi="宋体"/>
                <w:color w:val="000000"/>
                <w:sz w:val="24"/>
                <w:szCs w:val="21"/>
              </w:rPr>
              <w:t>比选文件</w:t>
            </w:r>
            <w:r>
              <w:rPr>
                <w:rFonts w:ascii="宋体" w:hAnsi="宋体"/>
                <w:color w:val="000000"/>
                <w:sz w:val="24"/>
              </w:rPr>
              <w:t>要求</w:t>
            </w:r>
          </w:p>
        </w:tc>
        <w:tc>
          <w:tcPr>
            <w:tcW w:w="2008" w:type="dxa"/>
            <w:vAlign w:val="center"/>
          </w:tcPr>
          <w:p>
            <w:pPr>
              <w:adjustRightInd w:val="0"/>
              <w:snapToGrid w:val="0"/>
              <w:jc w:val="center"/>
              <w:rPr>
                <w:rFonts w:ascii="宋体" w:hAnsi="宋体"/>
                <w:color w:val="000000"/>
                <w:sz w:val="24"/>
              </w:rPr>
            </w:pPr>
            <w:r>
              <w:rPr>
                <w:rFonts w:hint="eastAsia" w:ascii="宋体" w:hAnsi="宋体"/>
                <w:color w:val="000000"/>
                <w:sz w:val="24"/>
              </w:rPr>
              <w:t>响应文件</w:t>
            </w:r>
            <w:r>
              <w:rPr>
                <w:rFonts w:ascii="宋体" w:hAnsi="宋体"/>
                <w:color w:val="000000"/>
                <w:sz w:val="24"/>
              </w:rPr>
              <w:t>内容</w:t>
            </w:r>
          </w:p>
        </w:tc>
        <w:tc>
          <w:tcPr>
            <w:tcW w:w="2458" w:type="dxa"/>
            <w:vAlign w:val="center"/>
          </w:tcPr>
          <w:p>
            <w:pPr>
              <w:adjustRightInd w:val="0"/>
              <w:snapToGrid w:val="0"/>
              <w:jc w:val="center"/>
              <w:rPr>
                <w:rFonts w:ascii="宋体" w:hAnsi="宋体"/>
                <w:color w:val="000000"/>
                <w:sz w:val="24"/>
              </w:rPr>
            </w:pPr>
            <w:r>
              <w:rPr>
                <w:rFonts w:ascii="宋体" w:hAnsi="宋体"/>
                <w:color w:val="000000"/>
                <w:sz w:val="24"/>
              </w:rPr>
              <w:t>偏离情况</w:t>
            </w:r>
          </w:p>
        </w:tc>
        <w:tc>
          <w:tcPr>
            <w:tcW w:w="788" w:type="dxa"/>
            <w:vAlign w:val="center"/>
          </w:tcPr>
          <w:p>
            <w:pPr>
              <w:adjustRightInd w:val="0"/>
              <w:snapToGrid w:val="0"/>
              <w:jc w:val="center"/>
              <w:rPr>
                <w:rFonts w:ascii="宋体" w:hAnsi="宋体"/>
                <w:color w:val="000000"/>
                <w:sz w:val="24"/>
              </w:rPr>
            </w:pPr>
            <w:r>
              <w:rPr>
                <w:rFonts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宋体" w:hAnsi="宋体"/>
                <w:color w:val="000000"/>
                <w:sz w:val="24"/>
              </w:rPr>
            </w:pPr>
          </w:p>
        </w:tc>
        <w:tc>
          <w:tcPr>
            <w:tcW w:w="1301" w:type="dxa"/>
            <w:vAlign w:val="center"/>
          </w:tcPr>
          <w:p>
            <w:pPr>
              <w:adjustRightInd w:val="0"/>
              <w:snapToGrid w:val="0"/>
              <w:jc w:val="center"/>
              <w:rPr>
                <w:rFonts w:ascii="宋体" w:hAnsi="宋体"/>
                <w:color w:val="000000"/>
                <w:sz w:val="24"/>
              </w:rPr>
            </w:pPr>
          </w:p>
        </w:tc>
        <w:tc>
          <w:tcPr>
            <w:tcW w:w="2007" w:type="dxa"/>
            <w:vAlign w:val="center"/>
          </w:tcPr>
          <w:p>
            <w:pPr>
              <w:adjustRightInd w:val="0"/>
              <w:snapToGrid w:val="0"/>
              <w:jc w:val="center"/>
              <w:rPr>
                <w:rFonts w:ascii="宋体" w:hAnsi="宋体"/>
                <w:color w:val="000000"/>
                <w:sz w:val="24"/>
              </w:rPr>
            </w:pPr>
          </w:p>
        </w:tc>
        <w:tc>
          <w:tcPr>
            <w:tcW w:w="2008" w:type="dxa"/>
            <w:vAlign w:val="center"/>
          </w:tcPr>
          <w:p>
            <w:pPr>
              <w:adjustRightInd w:val="0"/>
              <w:snapToGrid w:val="0"/>
              <w:jc w:val="center"/>
              <w:rPr>
                <w:rFonts w:ascii="宋体" w:hAnsi="宋体"/>
                <w:color w:val="000000"/>
                <w:sz w:val="24"/>
              </w:rPr>
            </w:pPr>
          </w:p>
        </w:tc>
        <w:tc>
          <w:tcPr>
            <w:tcW w:w="2458" w:type="dxa"/>
            <w:vAlign w:val="center"/>
          </w:tcPr>
          <w:p>
            <w:pPr>
              <w:adjustRightInd w:val="0"/>
              <w:snapToGrid w:val="0"/>
              <w:jc w:val="center"/>
              <w:rPr>
                <w:rFonts w:ascii="宋体" w:hAnsi="宋体"/>
                <w:color w:val="000000"/>
                <w:sz w:val="24"/>
              </w:rPr>
            </w:pPr>
          </w:p>
        </w:tc>
        <w:tc>
          <w:tcPr>
            <w:tcW w:w="788"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宋体" w:hAnsi="宋体"/>
                <w:color w:val="000000"/>
                <w:sz w:val="24"/>
              </w:rPr>
            </w:pPr>
          </w:p>
        </w:tc>
        <w:tc>
          <w:tcPr>
            <w:tcW w:w="1301" w:type="dxa"/>
            <w:vAlign w:val="center"/>
          </w:tcPr>
          <w:p>
            <w:pPr>
              <w:adjustRightInd w:val="0"/>
              <w:snapToGrid w:val="0"/>
              <w:jc w:val="center"/>
              <w:rPr>
                <w:rFonts w:ascii="宋体" w:hAnsi="宋体"/>
                <w:color w:val="000000"/>
                <w:sz w:val="24"/>
              </w:rPr>
            </w:pPr>
          </w:p>
        </w:tc>
        <w:tc>
          <w:tcPr>
            <w:tcW w:w="2007" w:type="dxa"/>
            <w:vAlign w:val="center"/>
          </w:tcPr>
          <w:p>
            <w:pPr>
              <w:adjustRightInd w:val="0"/>
              <w:snapToGrid w:val="0"/>
              <w:jc w:val="center"/>
              <w:rPr>
                <w:rFonts w:ascii="宋体" w:hAnsi="宋体"/>
                <w:color w:val="000000"/>
                <w:sz w:val="24"/>
              </w:rPr>
            </w:pPr>
          </w:p>
        </w:tc>
        <w:tc>
          <w:tcPr>
            <w:tcW w:w="2008" w:type="dxa"/>
            <w:vAlign w:val="center"/>
          </w:tcPr>
          <w:p>
            <w:pPr>
              <w:adjustRightInd w:val="0"/>
              <w:snapToGrid w:val="0"/>
              <w:jc w:val="center"/>
              <w:rPr>
                <w:rFonts w:ascii="宋体" w:hAnsi="宋体"/>
                <w:color w:val="000000"/>
                <w:sz w:val="24"/>
              </w:rPr>
            </w:pPr>
          </w:p>
        </w:tc>
        <w:tc>
          <w:tcPr>
            <w:tcW w:w="2458" w:type="dxa"/>
            <w:vAlign w:val="center"/>
          </w:tcPr>
          <w:p>
            <w:pPr>
              <w:adjustRightInd w:val="0"/>
              <w:snapToGrid w:val="0"/>
              <w:jc w:val="center"/>
              <w:rPr>
                <w:rFonts w:ascii="宋体" w:hAnsi="宋体"/>
                <w:color w:val="000000"/>
                <w:sz w:val="24"/>
              </w:rPr>
            </w:pPr>
          </w:p>
        </w:tc>
        <w:tc>
          <w:tcPr>
            <w:tcW w:w="788"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宋体" w:hAnsi="宋体"/>
                <w:color w:val="000000"/>
                <w:sz w:val="24"/>
              </w:rPr>
            </w:pPr>
          </w:p>
        </w:tc>
        <w:tc>
          <w:tcPr>
            <w:tcW w:w="1301" w:type="dxa"/>
            <w:vAlign w:val="center"/>
          </w:tcPr>
          <w:p>
            <w:pPr>
              <w:adjustRightInd w:val="0"/>
              <w:snapToGrid w:val="0"/>
              <w:jc w:val="center"/>
              <w:rPr>
                <w:rFonts w:ascii="宋体" w:hAnsi="宋体"/>
                <w:color w:val="000000"/>
                <w:sz w:val="24"/>
              </w:rPr>
            </w:pPr>
          </w:p>
        </w:tc>
        <w:tc>
          <w:tcPr>
            <w:tcW w:w="2007" w:type="dxa"/>
            <w:vAlign w:val="center"/>
          </w:tcPr>
          <w:p>
            <w:pPr>
              <w:adjustRightInd w:val="0"/>
              <w:snapToGrid w:val="0"/>
              <w:jc w:val="center"/>
              <w:rPr>
                <w:rFonts w:ascii="宋体" w:hAnsi="宋体"/>
                <w:color w:val="000000"/>
                <w:sz w:val="24"/>
              </w:rPr>
            </w:pPr>
          </w:p>
        </w:tc>
        <w:tc>
          <w:tcPr>
            <w:tcW w:w="2008" w:type="dxa"/>
            <w:vAlign w:val="center"/>
          </w:tcPr>
          <w:p>
            <w:pPr>
              <w:adjustRightInd w:val="0"/>
              <w:snapToGrid w:val="0"/>
              <w:jc w:val="center"/>
              <w:rPr>
                <w:rFonts w:ascii="宋体" w:hAnsi="宋体"/>
                <w:color w:val="000000"/>
                <w:sz w:val="24"/>
              </w:rPr>
            </w:pPr>
          </w:p>
        </w:tc>
        <w:tc>
          <w:tcPr>
            <w:tcW w:w="2458" w:type="dxa"/>
            <w:vAlign w:val="center"/>
          </w:tcPr>
          <w:p>
            <w:pPr>
              <w:adjustRightInd w:val="0"/>
              <w:snapToGrid w:val="0"/>
              <w:jc w:val="center"/>
              <w:rPr>
                <w:rFonts w:ascii="宋体" w:hAnsi="宋体"/>
                <w:color w:val="000000"/>
                <w:sz w:val="24"/>
              </w:rPr>
            </w:pPr>
          </w:p>
        </w:tc>
        <w:tc>
          <w:tcPr>
            <w:tcW w:w="788"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宋体" w:hAnsi="宋体"/>
                <w:color w:val="000000"/>
                <w:sz w:val="24"/>
              </w:rPr>
            </w:pPr>
          </w:p>
        </w:tc>
        <w:tc>
          <w:tcPr>
            <w:tcW w:w="1301" w:type="dxa"/>
            <w:vAlign w:val="center"/>
          </w:tcPr>
          <w:p>
            <w:pPr>
              <w:adjustRightInd w:val="0"/>
              <w:snapToGrid w:val="0"/>
              <w:jc w:val="center"/>
              <w:rPr>
                <w:rFonts w:ascii="宋体" w:hAnsi="宋体"/>
                <w:color w:val="000000"/>
                <w:sz w:val="24"/>
              </w:rPr>
            </w:pPr>
          </w:p>
        </w:tc>
        <w:tc>
          <w:tcPr>
            <w:tcW w:w="2007" w:type="dxa"/>
            <w:vAlign w:val="center"/>
          </w:tcPr>
          <w:p>
            <w:pPr>
              <w:adjustRightInd w:val="0"/>
              <w:snapToGrid w:val="0"/>
              <w:jc w:val="center"/>
              <w:rPr>
                <w:rFonts w:ascii="宋体" w:hAnsi="宋体"/>
                <w:color w:val="000000"/>
                <w:sz w:val="24"/>
              </w:rPr>
            </w:pPr>
          </w:p>
        </w:tc>
        <w:tc>
          <w:tcPr>
            <w:tcW w:w="2008" w:type="dxa"/>
            <w:vAlign w:val="center"/>
          </w:tcPr>
          <w:p>
            <w:pPr>
              <w:adjustRightInd w:val="0"/>
              <w:snapToGrid w:val="0"/>
              <w:jc w:val="center"/>
              <w:rPr>
                <w:rFonts w:ascii="宋体" w:hAnsi="宋体"/>
                <w:color w:val="000000"/>
                <w:sz w:val="24"/>
              </w:rPr>
            </w:pPr>
          </w:p>
        </w:tc>
        <w:tc>
          <w:tcPr>
            <w:tcW w:w="2458" w:type="dxa"/>
            <w:vAlign w:val="center"/>
          </w:tcPr>
          <w:p>
            <w:pPr>
              <w:adjustRightInd w:val="0"/>
              <w:snapToGrid w:val="0"/>
              <w:jc w:val="center"/>
              <w:rPr>
                <w:rFonts w:ascii="宋体" w:hAnsi="宋体"/>
                <w:color w:val="000000"/>
                <w:sz w:val="24"/>
              </w:rPr>
            </w:pPr>
          </w:p>
        </w:tc>
        <w:tc>
          <w:tcPr>
            <w:tcW w:w="788" w:type="dxa"/>
            <w:vAlign w:val="center"/>
          </w:tcPr>
          <w:p>
            <w:pPr>
              <w:adjustRightInd w:val="0"/>
              <w:snapToGrid w:val="0"/>
              <w:jc w:val="center"/>
              <w:rPr>
                <w:rFonts w:ascii="宋体" w:hAnsi="宋体"/>
                <w:color w:val="000000"/>
                <w:sz w:val="24"/>
              </w:rPr>
            </w:pPr>
          </w:p>
        </w:tc>
      </w:tr>
    </w:tbl>
    <w:p>
      <w:pPr>
        <w:tabs>
          <w:tab w:val="left" w:pos="1800"/>
          <w:tab w:val="left" w:pos="5580"/>
        </w:tabs>
        <w:jc w:val="left"/>
        <w:rPr>
          <w:rFonts w:ascii="宋体" w:hAnsi="宋体"/>
          <w:color w:val="000000"/>
          <w:sz w:val="24"/>
        </w:rPr>
      </w:pPr>
    </w:p>
    <w:p>
      <w:pPr>
        <w:tabs>
          <w:tab w:val="left" w:pos="1800"/>
          <w:tab w:val="left" w:pos="5580"/>
        </w:tabs>
        <w:jc w:val="left"/>
        <w:rPr>
          <w:rFonts w:ascii="宋体" w:hAnsi="宋体"/>
          <w:color w:val="000000"/>
          <w:sz w:val="24"/>
        </w:rPr>
      </w:pPr>
      <w:r>
        <w:rPr>
          <w:rFonts w:ascii="宋体" w:hAnsi="宋体"/>
          <w:color w:val="000000"/>
          <w:sz w:val="24"/>
        </w:rPr>
        <w:t>注：</w:t>
      </w:r>
    </w:p>
    <w:p>
      <w:pPr>
        <w:tabs>
          <w:tab w:val="left" w:pos="1800"/>
          <w:tab w:val="left" w:pos="5580"/>
        </w:tabs>
        <w:jc w:val="left"/>
        <w:rPr>
          <w:rFonts w:ascii="宋体" w:hAnsi="宋体"/>
          <w:sz w:val="24"/>
        </w:rPr>
      </w:pPr>
      <w:r>
        <w:rPr>
          <w:rFonts w:hint="eastAsia" w:ascii="宋体" w:hAnsi="宋体"/>
          <w:color w:val="000000"/>
          <w:sz w:val="24"/>
        </w:rPr>
        <w:t>1</w:t>
      </w:r>
      <w:r>
        <w:rPr>
          <w:rFonts w:ascii="宋体" w:hAnsi="宋体"/>
          <w:color w:val="000000"/>
          <w:sz w:val="24"/>
        </w:rPr>
        <w:t xml:space="preserve">. </w:t>
      </w:r>
      <w:r>
        <w:rPr>
          <w:rFonts w:ascii="宋体" w:hAnsi="宋体"/>
          <w:sz w:val="24"/>
        </w:rPr>
        <w:t>对合同条款中的所有要求，除本表所列明的所有偏离外，均视作供应商已对之理解和</w:t>
      </w:r>
      <w:r>
        <w:rPr>
          <w:rFonts w:hint="eastAsia" w:ascii="宋体" w:hAnsi="宋体"/>
          <w:sz w:val="24"/>
        </w:rPr>
        <w:t>响应</w:t>
      </w:r>
      <w:r>
        <w:rPr>
          <w:rFonts w:ascii="宋体" w:hAnsi="宋体"/>
          <w:sz w:val="24"/>
        </w:rPr>
        <w:t>。</w:t>
      </w:r>
    </w:p>
    <w:p>
      <w:pPr>
        <w:tabs>
          <w:tab w:val="left" w:pos="1800"/>
          <w:tab w:val="left" w:pos="5580"/>
        </w:tabs>
        <w:jc w:val="left"/>
        <w:rPr>
          <w:rFonts w:ascii="宋体" w:hAnsi="宋体"/>
          <w:color w:val="000000"/>
          <w:sz w:val="24"/>
        </w:rPr>
      </w:pPr>
      <w:r>
        <w:rPr>
          <w:rFonts w:hint="eastAsia" w:ascii="宋体" w:hAnsi="宋体"/>
          <w:sz w:val="24"/>
        </w:rPr>
        <w:t>2</w:t>
      </w:r>
      <w:r>
        <w:rPr>
          <w:rFonts w:ascii="宋体" w:hAnsi="宋体"/>
          <w:sz w:val="24"/>
        </w:rPr>
        <w:t xml:space="preserve">. </w:t>
      </w:r>
      <w:r>
        <w:rPr>
          <w:rFonts w:hint="eastAsia" w:ascii="宋体" w:hAnsi="宋体"/>
          <w:sz w:val="24"/>
        </w:rPr>
        <w:t>“偏离情况”列应</w:t>
      </w:r>
      <w:r>
        <w:rPr>
          <w:rFonts w:ascii="宋体" w:hAnsi="宋体"/>
          <w:color w:val="000000"/>
          <w:sz w:val="24"/>
        </w:rPr>
        <w:t>据实</w:t>
      </w:r>
      <w:r>
        <w:rPr>
          <w:rFonts w:hint="eastAsia" w:ascii="宋体" w:hAnsi="宋体"/>
          <w:sz w:val="24"/>
        </w:rPr>
        <w:t>填写“正偏离”或“负偏离”。</w:t>
      </w:r>
    </w:p>
    <w:p>
      <w:pPr>
        <w:spacing w:line="360" w:lineRule="auto"/>
        <w:rPr>
          <w:rFonts w:ascii="宋体" w:hAnsi="宋体"/>
          <w:color w:val="000000"/>
          <w:sz w:val="24"/>
          <w:szCs w:val="20"/>
        </w:rPr>
      </w:pPr>
    </w:p>
    <w:p>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lang w:val="zh-CN"/>
        </w:rPr>
        <w:t xml:space="preserve">                      </w:t>
      </w:r>
    </w:p>
    <w:p>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    ____________</w:t>
      </w:r>
    </w:p>
    <w:p>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pPr>
        <w:spacing w:line="360" w:lineRule="auto"/>
        <w:outlineLvl w:val="2"/>
        <w:rPr>
          <w:rFonts w:ascii="宋体" w:hAnsi="宋体"/>
          <w:color w:val="000000"/>
          <w:sz w:val="24"/>
          <w:szCs w:val="20"/>
        </w:rPr>
      </w:pPr>
      <w:r>
        <w:rPr>
          <w:rFonts w:ascii="宋体" w:hAnsi="宋体"/>
          <w:color w:val="000000"/>
          <w:sz w:val="24"/>
          <w:szCs w:val="20"/>
        </w:rPr>
        <w:br w:type="page"/>
      </w:r>
      <w:r>
        <w:rPr>
          <w:rFonts w:hint="eastAsia" w:ascii="宋体" w:hAnsi="宋体"/>
          <w:color w:val="000000"/>
          <w:sz w:val="24"/>
          <w:szCs w:val="20"/>
        </w:rPr>
        <w:t>6</w:t>
      </w:r>
      <w:r>
        <w:rPr>
          <w:rFonts w:ascii="宋体" w:hAnsi="宋体"/>
          <w:color w:val="000000"/>
          <w:sz w:val="24"/>
          <w:szCs w:val="20"/>
        </w:rPr>
        <w:t xml:space="preserve">  </w:t>
      </w:r>
      <w:bookmarkEnd w:id="778"/>
      <w:bookmarkEnd w:id="779"/>
      <w:bookmarkEnd w:id="780"/>
      <w:bookmarkEnd w:id="781"/>
      <w:bookmarkEnd w:id="782"/>
      <w:bookmarkEnd w:id="783"/>
      <w:bookmarkEnd w:id="784"/>
      <w:bookmarkEnd w:id="785"/>
      <w:bookmarkEnd w:id="786"/>
      <w:bookmarkEnd w:id="787"/>
      <w:bookmarkEnd w:id="788"/>
      <w:bookmarkEnd w:id="789"/>
      <w:bookmarkEnd w:id="790"/>
      <w:r>
        <w:rPr>
          <w:rFonts w:ascii="宋体" w:hAnsi="宋体"/>
          <w:color w:val="000000"/>
          <w:sz w:val="24"/>
          <w:szCs w:val="20"/>
        </w:rPr>
        <w:t>采购需求偏离表（实质性格式）</w:t>
      </w:r>
    </w:p>
    <w:p>
      <w:pPr>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采购需求偏离表</w:t>
      </w:r>
    </w:p>
    <w:p>
      <w:pPr>
        <w:tabs>
          <w:tab w:val="left" w:pos="1800"/>
          <w:tab w:val="left" w:pos="5580"/>
        </w:tabs>
        <w:spacing w:line="360" w:lineRule="auto"/>
        <w:ind w:firstLine="360" w:firstLineChars="150"/>
        <w:jc w:val="left"/>
        <w:rPr>
          <w:rFonts w:ascii="宋体" w:hAnsi="宋体"/>
          <w:color w:val="000000"/>
          <w:sz w:val="24"/>
          <w:u w:val="single"/>
        </w:rPr>
      </w:pPr>
      <w:r>
        <w:rPr>
          <w:rFonts w:ascii="宋体" w:hAnsi="宋体"/>
          <w:color w:val="000000"/>
          <w:sz w:val="24"/>
        </w:rPr>
        <w:t>项目编号/包号：_____________________     项目名称：____________</w:t>
      </w:r>
    </w:p>
    <w:tbl>
      <w:tblPr>
        <w:tblStyle w:val="40"/>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651" w:type="dxa"/>
            <w:gridSpan w:val="6"/>
            <w:vAlign w:val="center"/>
          </w:tcPr>
          <w:p>
            <w:pPr>
              <w:adjustRightInd w:val="0"/>
              <w:snapToGrid w:val="0"/>
              <w:jc w:val="left"/>
              <w:rPr>
                <w:rFonts w:ascii="宋体" w:hAnsi="宋体"/>
                <w:b/>
                <w:color w:val="000000"/>
                <w:sz w:val="24"/>
              </w:rPr>
            </w:pPr>
            <w:r>
              <w:rPr>
                <w:rFonts w:ascii="宋体" w:hAnsi="宋体"/>
                <w:b/>
                <w:color w:val="000000"/>
                <w:sz w:val="24"/>
              </w:rPr>
              <w:t>对本</w:t>
            </w:r>
            <w:r>
              <w:rPr>
                <w:rFonts w:hint="eastAsia" w:ascii="宋体" w:hAnsi="宋体"/>
                <w:b/>
                <w:color w:val="000000"/>
                <w:sz w:val="24"/>
              </w:rPr>
              <w:t>项目第四章采购需求</w:t>
            </w:r>
            <w:r>
              <w:rPr>
                <w:rFonts w:ascii="宋体" w:hAnsi="宋体"/>
                <w:b/>
                <w:color w:val="000000"/>
                <w:sz w:val="24"/>
              </w:rPr>
              <w:t>的偏离情况（请进行勾选）：</w:t>
            </w:r>
          </w:p>
          <w:p>
            <w:pPr>
              <w:adjustRightInd w:val="0"/>
              <w:snapToGrid w:val="0"/>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pPr>
              <w:adjustRightInd w:val="0"/>
              <w:snapToGrid w:val="0"/>
              <w:rPr>
                <w:rFonts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如有偏离，</w:t>
            </w:r>
            <w:r>
              <w:rPr>
                <w:rFonts w:ascii="宋体" w:hAnsi="宋体"/>
                <w:color w:val="000000"/>
                <w:sz w:val="24"/>
              </w:rPr>
              <w:t>则</w:t>
            </w:r>
            <w:r>
              <w:rPr>
                <w:rFonts w:hint="eastAsia" w:ascii="宋体" w:hAnsi="宋体"/>
                <w:color w:val="000000"/>
                <w:sz w:val="24"/>
              </w:rPr>
              <w:t>应</w:t>
            </w:r>
            <w:r>
              <w:rPr>
                <w:rFonts w:ascii="宋体" w:hAnsi="宋体"/>
                <w:color w:val="000000"/>
                <w:sz w:val="24"/>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rFonts w:ascii="宋体" w:hAnsi="宋体"/>
                <w:color w:val="000000"/>
                <w:sz w:val="24"/>
              </w:rPr>
            </w:pPr>
            <w:r>
              <w:rPr>
                <w:rFonts w:ascii="宋体" w:hAnsi="宋体"/>
                <w:color w:val="000000"/>
                <w:sz w:val="24"/>
              </w:rPr>
              <w:t>序号</w:t>
            </w:r>
          </w:p>
        </w:tc>
        <w:tc>
          <w:tcPr>
            <w:tcW w:w="1482" w:type="dxa"/>
            <w:vAlign w:val="center"/>
          </w:tcPr>
          <w:p>
            <w:pPr>
              <w:adjustRightInd w:val="0"/>
              <w:snapToGrid w:val="0"/>
              <w:jc w:val="center"/>
              <w:rPr>
                <w:rFonts w:ascii="宋体" w:hAnsi="宋体"/>
                <w:color w:val="000000"/>
                <w:sz w:val="24"/>
              </w:rPr>
            </w:pPr>
            <w:r>
              <w:rPr>
                <w:rFonts w:hint="eastAsia" w:ascii="宋体" w:hAnsi="宋体"/>
                <w:color w:val="000000"/>
                <w:sz w:val="24"/>
              </w:rPr>
              <w:t>比选文件</w:t>
            </w:r>
            <w:r>
              <w:rPr>
                <w:rFonts w:ascii="宋体" w:hAnsi="宋体"/>
                <w:color w:val="000000"/>
                <w:sz w:val="24"/>
              </w:rPr>
              <w:t>条目号(页码)</w:t>
            </w:r>
          </w:p>
        </w:tc>
        <w:tc>
          <w:tcPr>
            <w:tcW w:w="2384" w:type="dxa"/>
            <w:vAlign w:val="center"/>
          </w:tcPr>
          <w:p>
            <w:pPr>
              <w:adjustRightInd w:val="0"/>
              <w:snapToGrid w:val="0"/>
              <w:jc w:val="center"/>
              <w:rPr>
                <w:rFonts w:ascii="宋体" w:hAnsi="宋体"/>
                <w:color w:val="000000"/>
                <w:sz w:val="24"/>
              </w:rPr>
            </w:pPr>
            <w:r>
              <w:rPr>
                <w:rFonts w:hint="eastAsia" w:ascii="宋体" w:hAnsi="宋体"/>
                <w:color w:val="000000"/>
                <w:sz w:val="24"/>
              </w:rPr>
              <w:t>比选文件</w:t>
            </w:r>
            <w:r>
              <w:rPr>
                <w:rFonts w:ascii="宋体" w:hAnsi="宋体"/>
                <w:color w:val="000000"/>
                <w:sz w:val="24"/>
              </w:rPr>
              <w:t>要求</w:t>
            </w:r>
          </w:p>
        </w:tc>
        <w:tc>
          <w:tcPr>
            <w:tcW w:w="2126" w:type="dxa"/>
            <w:vAlign w:val="center"/>
          </w:tcPr>
          <w:p>
            <w:pPr>
              <w:adjustRightInd w:val="0"/>
              <w:snapToGrid w:val="0"/>
              <w:jc w:val="center"/>
              <w:rPr>
                <w:rFonts w:ascii="宋体" w:hAnsi="宋体"/>
                <w:color w:val="000000"/>
                <w:sz w:val="24"/>
              </w:rPr>
            </w:pPr>
            <w:r>
              <w:rPr>
                <w:rFonts w:ascii="宋体" w:hAnsi="宋体"/>
                <w:color w:val="000000"/>
                <w:sz w:val="24"/>
              </w:rPr>
              <w:t>响应内容</w:t>
            </w:r>
          </w:p>
        </w:tc>
        <w:tc>
          <w:tcPr>
            <w:tcW w:w="1875" w:type="dxa"/>
            <w:vAlign w:val="center"/>
          </w:tcPr>
          <w:p>
            <w:pPr>
              <w:adjustRightInd w:val="0"/>
              <w:snapToGrid w:val="0"/>
              <w:jc w:val="center"/>
              <w:rPr>
                <w:rFonts w:ascii="宋体" w:hAnsi="宋体"/>
                <w:color w:val="000000"/>
                <w:sz w:val="24"/>
              </w:rPr>
            </w:pPr>
            <w:r>
              <w:rPr>
                <w:rFonts w:ascii="宋体" w:hAnsi="宋体"/>
                <w:color w:val="000000"/>
                <w:sz w:val="24"/>
              </w:rPr>
              <w:t>偏离情况</w:t>
            </w:r>
          </w:p>
        </w:tc>
        <w:tc>
          <w:tcPr>
            <w:tcW w:w="1009" w:type="dxa"/>
            <w:vAlign w:val="center"/>
          </w:tcPr>
          <w:p>
            <w:pPr>
              <w:adjustRightInd w:val="0"/>
              <w:snapToGrid w:val="0"/>
              <w:jc w:val="center"/>
              <w:rPr>
                <w:rFonts w:ascii="宋体" w:hAnsi="宋体"/>
                <w:color w:val="000000"/>
                <w:sz w:val="24"/>
              </w:rPr>
            </w:pPr>
            <w:r>
              <w:rPr>
                <w:rFonts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宋体" w:hAnsi="宋体"/>
                <w:color w:val="000000"/>
                <w:sz w:val="24"/>
              </w:rPr>
            </w:pPr>
          </w:p>
        </w:tc>
        <w:tc>
          <w:tcPr>
            <w:tcW w:w="1482" w:type="dxa"/>
            <w:vAlign w:val="center"/>
          </w:tcPr>
          <w:p>
            <w:pPr>
              <w:adjustRightInd w:val="0"/>
              <w:snapToGrid w:val="0"/>
              <w:jc w:val="center"/>
              <w:rPr>
                <w:rFonts w:ascii="宋体" w:hAnsi="宋体"/>
                <w:color w:val="000000"/>
                <w:sz w:val="24"/>
              </w:rPr>
            </w:pPr>
          </w:p>
        </w:tc>
        <w:tc>
          <w:tcPr>
            <w:tcW w:w="2384" w:type="dxa"/>
            <w:vAlign w:val="center"/>
          </w:tcPr>
          <w:p>
            <w:pPr>
              <w:adjustRightInd w:val="0"/>
              <w:snapToGrid w:val="0"/>
              <w:jc w:val="center"/>
              <w:rPr>
                <w:rFonts w:ascii="宋体" w:hAnsi="宋体"/>
                <w:color w:val="000000"/>
                <w:sz w:val="24"/>
              </w:rPr>
            </w:pPr>
          </w:p>
        </w:tc>
        <w:tc>
          <w:tcPr>
            <w:tcW w:w="2126" w:type="dxa"/>
            <w:vAlign w:val="center"/>
          </w:tcPr>
          <w:p>
            <w:pPr>
              <w:adjustRightInd w:val="0"/>
              <w:snapToGrid w:val="0"/>
              <w:jc w:val="center"/>
              <w:rPr>
                <w:rFonts w:ascii="宋体" w:hAnsi="宋体"/>
                <w:color w:val="000000"/>
                <w:sz w:val="24"/>
              </w:rPr>
            </w:pPr>
          </w:p>
        </w:tc>
        <w:tc>
          <w:tcPr>
            <w:tcW w:w="1875" w:type="dxa"/>
            <w:vAlign w:val="center"/>
          </w:tcPr>
          <w:p>
            <w:pPr>
              <w:adjustRightInd w:val="0"/>
              <w:snapToGrid w:val="0"/>
              <w:jc w:val="center"/>
              <w:rPr>
                <w:rFonts w:ascii="宋体" w:hAnsi="宋体"/>
                <w:color w:val="000000"/>
                <w:sz w:val="24"/>
              </w:rPr>
            </w:pPr>
          </w:p>
        </w:tc>
        <w:tc>
          <w:tcPr>
            <w:tcW w:w="1009"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宋体" w:hAnsi="宋体"/>
                <w:color w:val="000000"/>
                <w:sz w:val="24"/>
              </w:rPr>
            </w:pPr>
          </w:p>
        </w:tc>
        <w:tc>
          <w:tcPr>
            <w:tcW w:w="1482" w:type="dxa"/>
            <w:vAlign w:val="center"/>
          </w:tcPr>
          <w:p>
            <w:pPr>
              <w:adjustRightInd w:val="0"/>
              <w:snapToGrid w:val="0"/>
              <w:jc w:val="center"/>
              <w:rPr>
                <w:rFonts w:ascii="宋体" w:hAnsi="宋体"/>
                <w:color w:val="000000"/>
                <w:sz w:val="24"/>
              </w:rPr>
            </w:pPr>
          </w:p>
        </w:tc>
        <w:tc>
          <w:tcPr>
            <w:tcW w:w="2384" w:type="dxa"/>
            <w:vAlign w:val="center"/>
          </w:tcPr>
          <w:p>
            <w:pPr>
              <w:adjustRightInd w:val="0"/>
              <w:snapToGrid w:val="0"/>
              <w:jc w:val="center"/>
              <w:rPr>
                <w:rFonts w:ascii="宋体" w:hAnsi="宋体"/>
                <w:color w:val="000000"/>
                <w:sz w:val="24"/>
              </w:rPr>
            </w:pPr>
          </w:p>
        </w:tc>
        <w:tc>
          <w:tcPr>
            <w:tcW w:w="2126" w:type="dxa"/>
            <w:vAlign w:val="center"/>
          </w:tcPr>
          <w:p>
            <w:pPr>
              <w:adjustRightInd w:val="0"/>
              <w:snapToGrid w:val="0"/>
              <w:jc w:val="center"/>
              <w:rPr>
                <w:rFonts w:ascii="宋体" w:hAnsi="宋体"/>
                <w:color w:val="000000"/>
                <w:sz w:val="24"/>
              </w:rPr>
            </w:pPr>
          </w:p>
        </w:tc>
        <w:tc>
          <w:tcPr>
            <w:tcW w:w="1875" w:type="dxa"/>
            <w:vAlign w:val="center"/>
          </w:tcPr>
          <w:p>
            <w:pPr>
              <w:adjustRightInd w:val="0"/>
              <w:snapToGrid w:val="0"/>
              <w:jc w:val="center"/>
              <w:rPr>
                <w:rFonts w:ascii="宋体" w:hAnsi="宋体"/>
                <w:color w:val="000000"/>
                <w:sz w:val="24"/>
              </w:rPr>
            </w:pPr>
          </w:p>
        </w:tc>
        <w:tc>
          <w:tcPr>
            <w:tcW w:w="1009"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宋体" w:hAnsi="宋体"/>
                <w:color w:val="000000"/>
                <w:sz w:val="24"/>
              </w:rPr>
            </w:pPr>
          </w:p>
        </w:tc>
        <w:tc>
          <w:tcPr>
            <w:tcW w:w="1482" w:type="dxa"/>
            <w:vAlign w:val="center"/>
          </w:tcPr>
          <w:p>
            <w:pPr>
              <w:adjustRightInd w:val="0"/>
              <w:snapToGrid w:val="0"/>
              <w:jc w:val="center"/>
              <w:rPr>
                <w:rFonts w:ascii="宋体" w:hAnsi="宋体"/>
                <w:color w:val="000000"/>
                <w:sz w:val="24"/>
              </w:rPr>
            </w:pPr>
          </w:p>
        </w:tc>
        <w:tc>
          <w:tcPr>
            <w:tcW w:w="2384" w:type="dxa"/>
            <w:vAlign w:val="center"/>
          </w:tcPr>
          <w:p>
            <w:pPr>
              <w:adjustRightInd w:val="0"/>
              <w:snapToGrid w:val="0"/>
              <w:jc w:val="center"/>
              <w:rPr>
                <w:rFonts w:ascii="宋体" w:hAnsi="宋体"/>
                <w:color w:val="000000"/>
                <w:sz w:val="24"/>
              </w:rPr>
            </w:pPr>
          </w:p>
        </w:tc>
        <w:tc>
          <w:tcPr>
            <w:tcW w:w="2126" w:type="dxa"/>
            <w:vAlign w:val="center"/>
          </w:tcPr>
          <w:p>
            <w:pPr>
              <w:adjustRightInd w:val="0"/>
              <w:snapToGrid w:val="0"/>
              <w:jc w:val="center"/>
              <w:rPr>
                <w:rFonts w:ascii="宋体" w:hAnsi="宋体"/>
                <w:color w:val="000000"/>
                <w:sz w:val="24"/>
              </w:rPr>
            </w:pPr>
          </w:p>
        </w:tc>
        <w:tc>
          <w:tcPr>
            <w:tcW w:w="1875" w:type="dxa"/>
            <w:vAlign w:val="center"/>
          </w:tcPr>
          <w:p>
            <w:pPr>
              <w:adjustRightInd w:val="0"/>
              <w:snapToGrid w:val="0"/>
              <w:jc w:val="center"/>
              <w:rPr>
                <w:rFonts w:ascii="宋体" w:hAnsi="宋体"/>
                <w:color w:val="000000"/>
                <w:sz w:val="24"/>
              </w:rPr>
            </w:pPr>
          </w:p>
        </w:tc>
        <w:tc>
          <w:tcPr>
            <w:tcW w:w="1009"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宋体" w:hAnsi="宋体"/>
                <w:color w:val="000000"/>
                <w:sz w:val="24"/>
              </w:rPr>
            </w:pPr>
          </w:p>
        </w:tc>
        <w:tc>
          <w:tcPr>
            <w:tcW w:w="1482" w:type="dxa"/>
            <w:vAlign w:val="center"/>
          </w:tcPr>
          <w:p>
            <w:pPr>
              <w:adjustRightInd w:val="0"/>
              <w:snapToGrid w:val="0"/>
              <w:jc w:val="center"/>
              <w:rPr>
                <w:rFonts w:ascii="宋体" w:hAnsi="宋体"/>
                <w:color w:val="000000"/>
                <w:sz w:val="24"/>
              </w:rPr>
            </w:pPr>
          </w:p>
        </w:tc>
        <w:tc>
          <w:tcPr>
            <w:tcW w:w="2384" w:type="dxa"/>
            <w:vAlign w:val="center"/>
          </w:tcPr>
          <w:p>
            <w:pPr>
              <w:adjustRightInd w:val="0"/>
              <w:snapToGrid w:val="0"/>
              <w:jc w:val="center"/>
              <w:rPr>
                <w:rFonts w:ascii="宋体" w:hAnsi="宋体"/>
                <w:color w:val="000000"/>
                <w:sz w:val="24"/>
              </w:rPr>
            </w:pPr>
          </w:p>
        </w:tc>
        <w:tc>
          <w:tcPr>
            <w:tcW w:w="2126" w:type="dxa"/>
            <w:vAlign w:val="center"/>
          </w:tcPr>
          <w:p>
            <w:pPr>
              <w:adjustRightInd w:val="0"/>
              <w:snapToGrid w:val="0"/>
              <w:jc w:val="center"/>
              <w:rPr>
                <w:rFonts w:ascii="宋体" w:hAnsi="宋体"/>
                <w:color w:val="000000"/>
                <w:sz w:val="24"/>
              </w:rPr>
            </w:pPr>
          </w:p>
        </w:tc>
        <w:tc>
          <w:tcPr>
            <w:tcW w:w="1875" w:type="dxa"/>
            <w:vAlign w:val="center"/>
          </w:tcPr>
          <w:p>
            <w:pPr>
              <w:adjustRightInd w:val="0"/>
              <w:snapToGrid w:val="0"/>
              <w:jc w:val="center"/>
              <w:rPr>
                <w:rFonts w:ascii="宋体" w:hAnsi="宋体"/>
                <w:color w:val="000000"/>
                <w:sz w:val="24"/>
              </w:rPr>
            </w:pPr>
          </w:p>
        </w:tc>
        <w:tc>
          <w:tcPr>
            <w:tcW w:w="1009"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宋体" w:hAnsi="宋体"/>
                <w:color w:val="000000"/>
                <w:sz w:val="24"/>
              </w:rPr>
            </w:pPr>
          </w:p>
        </w:tc>
        <w:tc>
          <w:tcPr>
            <w:tcW w:w="1482" w:type="dxa"/>
            <w:vAlign w:val="center"/>
          </w:tcPr>
          <w:p>
            <w:pPr>
              <w:adjustRightInd w:val="0"/>
              <w:snapToGrid w:val="0"/>
              <w:jc w:val="center"/>
              <w:rPr>
                <w:rFonts w:ascii="宋体" w:hAnsi="宋体"/>
                <w:color w:val="000000"/>
                <w:sz w:val="24"/>
              </w:rPr>
            </w:pPr>
          </w:p>
        </w:tc>
        <w:tc>
          <w:tcPr>
            <w:tcW w:w="2384" w:type="dxa"/>
            <w:vAlign w:val="center"/>
          </w:tcPr>
          <w:p>
            <w:pPr>
              <w:adjustRightInd w:val="0"/>
              <w:snapToGrid w:val="0"/>
              <w:jc w:val="center"/>
              <w:rPr>
                <w:rFonts w:ascii="宋体" w:hAnsi="宋体"/>
                <w:color w:val="000000"/>
                <w:sz w:val="24"/>
              </w:rPr>
            </w:pPr>
          </w:p>
        </w:tc>
        <w:tc>
          <w:tcPr>
            <w:tcW w:w="2126" w:type="dxa"/>
            <w:vAlign w:val="center"/>
          </w:tcPr>
          <w:p>
            <w:pPr>
              <w:adjustRightInd w:val="0"/>
              <w:snapToGrid w:val="0"/>
              <w:jc w:val="center"/>
              <w:rPr>
                <w:rFonts w:ascii="宋体" w:hAnsi="宋体"/>
                <w:color w:val="000000"/>
                <w:sz w:val="24"/>
              </w:rPr>
            </w:pPr>
          </w:p>
        </w:tc>
        <w:tc>
          <w:tcPr>
            <w:tcW w:w="1875" w:type="dxa"/>
            <w:vAlign w:val="center"/>
          </w:tcPr>
          <w:p>
            <w:pPr>
              <w:adjustRightInd w:val="0"/>
              <w:snapToGrid w:val="0"/>
              <w:jc w:val="center"/>
              <w:rPr>
                <w:rFonts w:ascii="宋体" w:hAnsi="宋体"/>
                <w:color w:val="000000"/>
                <w:sz w:val="24"/>
              </w:rPr>
            </w:pPr>
          </w:p>
        </w:tc>
        <w:tc>
          <w:tcPr>
            <w:tcW w:w="1009"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宋体" w:hAnsi="宋体"/>
                <w:color w:val="000000"/>
                <w:sz w:val="24"/>
              </w:rPr>
            </w:pPr>
          </w:p>
        </w:tc>
        <w:tc>
          <w:tcPr>
            <w:tcW w:w="1482" w:type="dxa"/>
            <w:vAlign w:val="center"/>
          </w:tcPr>
          <w:p>
            <w:pPr>
              <w:adjustRightInd w:val="0"/>
              <w:snapToGrid w:val="0"/>
              <w:jc w:val="center"/>
              <w:rPr>
                <w:rFonts w:ascii="宋体" w:hAnsi="宋体"/>
                <w:color w:val="000000"/>
                <w:sz w:val="24"/>
              </w:rPr>
            </w:pPr>
          </w:p>
        </w:tc>
        <w:tc>
          <w:tcPr>
            <w:tcW w:w="2384" w:type="dxa"/>
            <w:vAlign w:val="center"/>
          </w:tcPr>
          <w:p>
            <w:pPr>
              <w:adjustRightInd w:val="0"/>
              <w:snapToGrid w:val="0"/>
              <w:jc w:val="center"/>
              <w:rPr>
                <w:rFonts w:ascii="宋体" w:hAnsi="宋体"/>
                <w:color w:val="000000"/>
                <w:sz w:val="24"/>
              </w:rPr>
            </w:pPr>
          </w:p>
        </w:tc>
        <w:tc>
          <w:tcPr>
            <w:tcW w:w="2126" w:type="dxa"/>
            <w:vAlign w:val="center"/>
          </w:tcPr>
          <w:p>
            <w:pPr>
              <w:adjustRightInd w:val="0"/>
              <w:snapToGrid w:val="0"/>
              <w:jc w:val="center"/>
              <w:rPr>
                <w:rFonts w:ascii="宋体" w:hAnsi="宋体"/>
                <w:color w:val="000000"/>
                <w:sz w:val="24"/>
              </w:rPr>
            </w:pPr>
          </w:p>
        </w:tc>
        <w:tc>
          <w:tcPr>
            <w:tcW w:w="1875" w:type="dxa"/>
            <w:vAlign w:val="center"/>
          </w:tcPr>
          <w:p>
            <w:pPr>
              <w:adjustRightInd w:val="0"/>
              <w:snapToGrid w:val="0"/>
              <w:jc w:val="center"/>
              <w:rPr>
                <w:rFonts w:ascii="宋体" w:hAnsi="宋体"/>
                <w:color w:val="000000"/>
                <w:sz w:val="24"/>
              </w:rPr>
            </w:pPr>
          </w:p>
        </w:tc>
        <w:tc>
          <w:tcPr>
            <w:tcW w:w="1009" w:type="dxa"/>
            <w:vAlign w:val="center"/>
          </w:tcPr>
          <w:p>
            <w:pPr>
              <w:adjustRightInd w:val="0"/>
              <w:snapToGrid w:val="0"/>
              <w:jc w:val="center"/>
              <w:rPr>
                <w:rFonts w:ascii="宋体" w:hAnsi="宋体"/>
                <w:color w:val="000000"/>
                <w:sz w:val="24"/>
              </w:rPr>
            </w:pPr>
          </w:p>
        </w:tc>
      </w:tr>
    </w:tbl>
    <w:p>
      <w:pPr>
        <w:tabs>
          <w:tab w:val="left" w:pos="1800"/>
          <w:tab w:val="left" w:pos="5580"/>
        </w:tabs>
        <w:jc w:val="left"/>
        <w:rPr>
          <w:rFonts w:ascii="宋体" w:hAnsi="宋体"/>
          <w:color w:val="000000"/>
          <w:sz w:val="24"/>
        </w:rPr>
      </w:pPr>
    </w:p>
    <w:p>
      <w:pPr>
        <w:tabs>
          <w:tab w:val="left" w:pos="1800"/>
          <w:tab w:val="left" w:pos="5580"/>
        </w:tabs>
        <w:jc w:val="left"/>
        <w:rPr>
          <w:rFonts w:ascii="宋体" w:hAnsi="宋体"/>
          <w:color w:val="000000"/>
          <w:sz w:val="24"/>
        </w:rPr>
      </w:pPr>
      <w:r>
        <w:rPr>
          <w:rFonts w:ascii="宋体" w:hAnsi="宋体"/>
          <w:color w:val="000000"/>
          <w:sz w:val="24"/>
        </w:rPr>
        <w:t>注：</w:t>
      </w:r>
    </w:p>
    <w:p>
      <w:pPr>
        <w:tabs>
          <w:tab w:val="left" w:pos="1800"/>
          <w:tab w:val="left" w:pos="5580"/>
        </w:tabs>
        <w:spacing w:line="360" w:lineRule="auto"/>
        <w:jc w:val="left"/>
        <w:rPr>
          <w:rFonts w:ascii="宋体" w:hAnsi="宋体"/>
          <w:sz w:val="24"/>
        </w:rPr>
      </w:pPr>
      <w:r>
        <w:rPr>
          <w:rFonts w:hint="eastAsia" w:ascii="宋体" w:hAnsi="宋体"/>
          <w:color w:val="000000"/>
          <w:sz w:val="24"/>
        </w:rPr>
        <w:t>1</w:t>
      </w:r>
      <w:r>
        <w:rPr>
          <w:rFonts w:ascii="宋体" w:hAnsi="宋体"/>
          <w:color w:val="000000"/>
          <w:sz w:val="24"/>
        </w:rPr>
        <w:t>.</w:t>
      </w:r>
      <w:r>
        <w:rPr>
          <w:rFonts w:ascii="宋体" w:hAnsi="宋体"/>
          <w:sz w:val="24"/>
        </w:rPr>
        <w:t>对</w:t>
      </w:r>
      <w:r>
        <w:rPr>
          <w:rFonts w:hint="eastAsia" w:ascii="宋体" w:hAnsi="宋体"/>
          <w:sz w:val="24"/>
        </w:rPr>
        <w:t>比选文件</w:t>
      </w:r>
      <w:r>
        <w:rPr>
          <w:rFonts w:ascii="宋体" w:hAnsi="宋体"/>
          <w:sz w:val="24"/>
        </w:rPr>
        <w:t>中的所有商务、技术要求，除本表所列明的所有偏离外，均视作供应商已对之理解和</w:t>
      </w:r>
      <w:r>
        <w:rPr>
          <w:rFonts w:hint="eastAsia" w:ascii="宋体" w:hAnsi="宋体"/>
          <w:sz w:val="24"/>
        </w:rPr>
        <w:t>响应</w:t>
      </w:r>
      <w:r>
        <w:rPr>
          <w:rFonts w:ascii="宋体" w:hAnsi="宋体"/>
          <w:sz w:val="24"/>
        </w:rPr>
        <w:t>。</w:t>
      </w:r>
      <w:r>
        <w:rPr>
          <w:rFonts w:hint="eastAsia" w:ascii="宋体" w:hAnsi="宋体"/>
          <w:sz w:val="24"/>
        </w:rPr>
        <w:t>此表中若无任何文字说明，内容为空白，</w:t>
      </w:r>
      <w:r>
        <w:rPr>
          <w:rFonts w:hint="eastAsia" w:ascii="宋体" w:hAnsi="宋体"/>
          <w:b/>
          <w:sz w:val="24"/>
        </w:rPr>
        <w:t>响应无效。</w:t>
      </w:r>
    </w:p>
    <w:p>
      <w:pPr>
        <w:tabs>
          <w:tab w:val="left" w:pos="1800"/>
          <w:tab w:val="left" w:pos="5580"/>
        </w:tabs>
        <w:spacing w:line="360" w:lineRule="auto"/>
        <w:jc w:val="left"/>
        <w:rPr>
          <w:rFonts w:ascii="宋体" w:hAnsi="宋体"/>
          <w:sz w:val="24"/>
        </w:rPr>
      </w:pPr>
      <w:r>
        <w:rPr>
          <w:rFonts w:ascii="宋体" w:hAnsi="宋体"/>
          <w:sz w:val="24"/>
        </w:rPr>
        <w:t>2.</w:t>
      </w:r>
      <w:r>
        <w:rPr>
          <w:rFonts w:hint="eastAsia"/>
        </w:rPr>
        <w:t xml:space="preserve"> </w:t>
      </w:r>
      <w:r>
        <w:rPr>
          <w:rFonts w:hint="eastAsia" w:ascii="宋体" w:hAnsi="宋体"/>
          <w:sz w:val="24"/>
        </w:rPr>
        <w:t>供应商的技术偏差必须如实填写，并应对偏差情况做出必要说明。供应商应对故意隐瞒技术偏差的行为承担责任。对比选文件有任何偏离应在“偏离情况”列明“正偏离”或“负偏离”， 对比选文件无偏离应标明“响应”或“无偏离”。</w:t>
      </w:r>
    </w:p>
    <w:p>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lang w:val="zh-CN"/>
        </w:rPr>
        <w:t xml:space="preserve">                  </w:t>
      </w:r>
    </w:p>
    <w:p>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 ____________</w:t>
      </w:r>
    </w:p>
    <w:p>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pPr>
        <w:spacing w:line="360" w:lineRule="auto"/>
        <w:outlineLvl w:val="2"/>
        <w:rPr>
          <w:rFonts w:ascii="宋体" w:hAnsi="宋体"/>
          <w:color w:val="000000"/>
          <w:sz w:val="24"/>
          <w:szCs w:val="20"/>
        </w:rPr>
      </w:pPr>
      <w:r>
        <w:rPr>
          <w:rFonts w:ascii="宋体" w:hAnsi="宋体"/>
          <w:color w:val="000000"/>
          <w:sz w:val="24"/>
          <w:szCs w:val="20"/>
        </w:rPr>
        <w:br w:type="page"/>
      </w:r>
      <w:r>
        <w:rPr>
          <w:rFonts w:hint="eastAsia" w:ascii="宋体" w:hAnsi="宋体"/>
          <w:color w:val="000000"/>
          <w:sz w:val="24"/>
          <w:szCs w:val="20"/>
        </w:rPr>
        <w:t>7</w:t>
      </w:r>
      <w:r>
        <w:rPr>
          <w:rFonts w:ascii="宋体" w:hAnsi="宋体"/>
          <w:color w:val="000000"/>
          <w:sz w:val="24"/>
          <w:szCs w:val="20"/>
        </w:rPr>
        <w:t xml:space="preserve">  中小企业声明函</w:t>
      </w:r>
    </w:p>
    <w:p>
      <w:pPr>
        <w:tabs>
          <w:tab w:val="left" w:pos="5580"/>
        </w:tabs>
        <w:spacing w:line="360" w:lineRule="auto"/>
        <w:rPr>
          <w:rFonts w:ascii="宋体" w:hAnsi="宋体"/>
          <w:sz w:val="24"/>
        </w:rPr>
      </w:pPr>
      <w:r>
        <w:rPr>
          <w:rFonts w:hint="eastAsia" w:ascii="宋体" w:hAnsi="宋体"/>
          <w:sz w:val="24"/>
        </w:rPr>
        <w:t>说明：</w:t>
      </w:r>
    </w:p>
    <w:p>
      <w:pPr>
        <w:tabs>
          <w:tab w:val="left" w:pos="5580"/>
        </w:tabs>
        <w:spacing w:line="360" w:lineRule="auto"/>
        <w:rPr>
          <w:rFonts w:ascii="宋体" w:hAnsi="宋体"/>
          <w:sz w:val="24"/>
        </w:rPr>
      </w:pPr>
      <w:r>
        <w:rPr>
          <w:rFonts w:hint="eastAsia" w:ascii="宋体" w:hAnsi="宋体"/>
          <w:sz w:val="24"/>
        </w:rPr>
        <w:t>1）中小企业参加政府采购活动，应当出具此格式文件。《中小企业声明函》由参加政府采购活动的供应商出具。联合体响应的，《中小企业声明函》由牵头人出具。</w:t>
      </w:r>
    </w:p>
    <w:p>
      <w:pPr>
        <w:tabs>
          <w:tab w:val="left" w:pos="5580"/>
        </w:tabs>
        <w:spacing w:line="360" w:lineRule="auto"/>
        <w:rPr>
          <w:rFonts w:ascii="宋体" w:hAnsi="宋体"/>
          <w:sz w:val="24"/>
        </w:rPr>
      </w:pPr>
      <w:r>
        <w:rPr>
          <w:rFonts w:hint="eastAsia" w:ascii="宋体" w:hAnsi="宋体"/>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rFonts w:ascii="宋体" w:hAnsi="宋体"/>
          <w:sz w:val="24"/>
        </w:rPr>
      </w:pPr>
      <w:r>
        <w:rPr>
          <w:rFonts w:hint="eastAsia" w:ascii="宋体" w:hAnsi="宋体"/>
          <w:sz w:val="24"/>
        </w:rPr>
        <w:t>3）对于多标的的采购项目，供应商应充分、准确地了解所投产品制造企业信息。对相关情况了解不清楚的，不建议填报本声明函。</w:t>
      </w:r>
    </w:p>
    <w:p>
      <w:pPr>
        <w:tabs>
          <w:tab w:val="left" w:pos="5580"/>
        </w:tabs>
        <w:spacing w:line="360" w:lineRule="auto"/>
        <w:rPr>
          <w:rFonts w:ascii="宋体" w:hAnsi="宋体"/>
          <w:sz w:val="24"/>
        </w:rPr>
      </w:pPr>
      <w:r>
        <w:rPr>
          <w:rFonts w:hint="eastAsia" w:ascii="宋体" w:hAnsi="宋体"/>
          <w:sz w:val="24"/>
        </w:rPr>
        <w:t>4）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tabs>
          <w:tab w:val="left" w:pos="5580"/>
        </w:tabs>
        <w:spacing w:line="360" w:lineRule="auto"/>
        <w:rPr>
          <w:rFonts w:ascii="宋体" w:hAnsi="宋体"/>
          <w:sz w:val="24"/>
        </w:rPr>
      </w:pPr>
      <w:r>
        <w:rPr>
          <w:rFonts w:hint="eastAsia" w:ascii="宋体" w:hAnsi="宋体"/>
          <w:sz w:val="24"/>
        </w:rPr>
        <w:t>5）后附《中小企业划型标准规定》</w:t>
      </w:r>
    </w:p>
    <w:p>
      <w:pPr>
        <w:widowControl/>
        <w:jc w:val="left"/>
        <w:rPr>
          <w:rFonts w:ascii="宋体" w:hAnsi="宋体"/>
          <w:b/>
          <w:bCs/>
          <w:color w:val="000000"/>
          <w:sz w:val="24"/>
        </w:rPr>
      </w:pPr>
      <w:r>
        <w:rPr>
          <w:rFonts w:ascii="宋体" w:hAnsi="宋体"/>
          <w:b/>
          <w:bCs/>
          <w:color w:val="000000"/>
          <w:sz w:val="24"/>
        </w:rPr>
        <w:br w:type="page"/>
      </w:r>
    </w:p>
    <w:p>
      <w:pPr>
        <w:spacing w:before="240" w:beforeLines="100" w:after="240" w:afterLines="100" w:line="360" w:lineRule="auto"/>
        <w:jc w:val="center"/>
        <w:rPr>
          <w:rFonts w:ascii="宋体" w:hAnsi="宋体"/>
          <w:b/>
          <w:bCs/>
          <w:color w:val="000000"/>
          <w:sz w:val="36"/>
          <w:szCs w:val="36"/>
        </w:rPr>
      </w:pPr>
      <w:r>
        <w:rPr>
          <w:rFonts w:ascii="宋体" w:hAnsi="宋体"/>
          <w:b/>
          <w:bCs/>
          <w:color w:val="000000"/>
          <w:sz w:val="36"/>
          <w:szCs w:val="36"/>
        </w:rPr>
        <w:t>中小企业声明函（工程、服务）格式</w:t>
      </w:r>
    </w:p>
    <w:p>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16"/>
        </w:numPr>
        <w:tabs>
          <w:tab w:val="left" w:pos="1276"/>
          <w:tab w:val="left" w:pos="5005"/>
          <w:tab w:val="left" w:pos="7227"/>
        </w:tabs>
        <w:autoSpaceDE w:val="0"/>
        <w:autoSpaceDN w:val="0"/>
        <w:spacing w:line="360" w:lineRule="auto"/>
        <w:ind w:left="284" w:right="236" w:firstLine="57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r>
        <w:fldChar w:fldCharType="begin"/>
      </w:r>
      <w:r>
        <w:instrText xml:space="preserve"> HYPERLINK \l "_bookmark1" </w:instrText>
      </w:r>
      <w:r>
        <w:fldChar w:fldCharType="separate"/>
      </w:r>
      <w:r>
        <w:rPr>
          <w:rFonts w:ascii="宋体" w:hAnsi="宋体"/>
          <w:kern w:val="0"/>
          <w:position w:val="16"/>
          <w:sz w:val="24"/>
        </w:rPr>
        <w:t>1</w:t>
      </w:r>
      <w:r>
        <w:rPr>
          <w:rFonts w:ascii="宋体" w:hAnsi="宋体"/>
          <w:kern w:val="0"/>
          <w:position w:val="16"/>
          <w:sz w:val="24"/>
        </w:rPr>
        <w:fldChar w:fldCharType="end"/>
      </w:r>
      <w:r>
        <w:rPr>
          <w:rFonts w:ascii="宋体" w:hAnsi="宋体"/>
          <w:kern w:val="0"/>
          <w:sz w:val="24"/>
        </w:rPr>
        <w:t>，属于</w:t>
      </w:r>
      <w:r>
        <w:rPr>
          <w:rFonts w:ascii="宋体" w:hAnsi="宋体"/>
          <w:i/>
          <w:kern w:val="0"/>
          <w:sz w:val="24"/>
          <w:u w:val="single"/>
        </w:rPr>
        <w:t>（中型企业、小型企业、微型企业）</w:t>
      </w:r>
      <w:r>
        <w:rPr>
          <w:rFonts w:ascii="宋体" w:hAnsi="宋体"/>
          <w:kern w:val="0"/>
          <w:sz w:val="24"/>
        </w:rPr>
        <w:t>；</w:t>
      </w:r>
    </w:p>
    <w:p>
      <w:pPr>
        <w:numPr>
          <w:ilvl w:val="0"/>
          <w:numId w:val="16"/>
        </w:numPr>
        <w:tabs>
          <w:tab w:val="left" w:pos="1243"/>
          <w:tab w:val="left" w:pos="1806"/>
          <w:tab w:val="left" w:pos="5005"/>
          <w:tab w:val="left" w:pos="7213"/>
        </w:tabs>
        <w:autoSpaceDE w:val="0"/>
        <w:autoSpaceDN w:val="0"/>
        <w:spacing w:line="360" w:lineRule="auto"/>
        <w:ind w:left="205" w:right="258" w:firstLine="655"/>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pPr>
        <w:autoSpaceDE w:val="0"/>
        <w:autoSpaceDN w:val="0"/>
        <w:spacing w:line="360" w:lineRule="auto"/>
        <w:ind w:left="860"/>
        <w:jc w:val="left"/>
        <w:rPr>
          <w:rFonts w:ascii="宋体" w:hAnsi="宋体"/>
          <w:kern w:val="0"/>
          <w:sz w:val="24"/>
        </w:rPr>
      </w:pPr>
      <w:r>
        <w:rPr>
          <w:rFonts w:ascii="宋体" w:hAnsi="宋体"/>
          <w:kern w:val="0"/>
          <w:sz w:val="24"/>
        </w:rPr>
        <w:t>……</w:t>
      </w:r>
    </w:p>
    <w:p>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pPr>
        <w:spacing w:line="360" w:lineRule="auto"/>
        <w:ind w:firstLine="504"/>
        <w:rPr>
          <w:rFonts w:ascii="宋体" w:hAnsi="宋体"/>
          <w:spacing w:val="6"/>
          <w:sz w:val="24"/>
        </w:rPr>
      </w:pPr>
      <w:r>
        <w:rPr>
          <w:rFonts w:ascii="宋体" w:hAnsi="宋体"/>
          <w:kern w:val="0"/>
          <w:sz w:val="24"/>
        </w:rPr>
        <w:t>本企业对上述声明内容的真实性负责。如有虚假，将依法承担相应责任。</w:t>
      </w:r>
    </w:p>
    <w:p>
      <w:pPr>
        <w:spacing w:line="360" w:lineRule="auto"/>
        <w:ind w:firstLine="504"/>
        <w:rPr>
          <w:rFonts w:ascii="宋体" w:hAnsi="宋体"/>
          <w:spacing w:val="6"/>
          <w:sz w:val="24"/>
        </w:rPr>
      </w:pPr>
    </w:p>
    <w:p>
      <w:pPr>
        <w:spacing w:line="360" w:lineRule="auto"/>
        <w:ind w:right="360" w:firstLine="480"/>
        <w:jc w:val="right"/>
        <w:rPr>
          <w:rFonts w:ascii="宋体" w:hAnsi="宋体"/>
          <w:color w:val="000000"/>
          <w:sz w:val="24"/>
        </w:rPr>
      </w:pPr>
    </w:p>
    <w:p>
      <w:pPr>
        <w:spacing w:line="360" w:lineRule="auto"/>
        <w:ind w:right="360" w:firstLine="480"/>
        <w:jc w:val="right"/>
        <w:rPr>
          <w:rFonts w:ascii="宋体" w:hAnsi="宋体"/>
          <w:color w:val="000000"/>
          <w:sz w:val="24"/>
        </w:rPr>
      </w:pPr>
      <w:r>
        <w:rPr>
          <w:rFonts w:ascii="宋体" w:hAnsi="宋体"/>
          <w:color w:val="000000"/>
          <w:sz w:val="24"/>
        </w:rPr>
        <w:t>企业名称（盖章）：________</w:t>
      </w:r>
    </w:p>
    <w:p>
      <w:pPr>
        <w:spacing w:line="360" w:lineRule="auto"/>
        <w:ind w:right="360" w:firstLine="480"/>
        <w:jc w:val="right"/>
        <w:rPr>
          <w:rFonts w:ascii="宋体" w:hAnsi="宋体"/>
          <w:color w:val="000000"/>
          <w:sz w:val="24"/>
        </w:rPr>
      </w:pPr>
      <w:r>
        <w:rPr>
          <w:rFonts w:ascii="宋体" w:hAnsi="宋体"/>
          <w:color w:val="000000"/>
          <w:sz w:val="24"/>
        </w:rPr>
        <w:t>日 期：________</w:t>
      </w:r>
    </w:p>
    <w:p>
      <w:pPr>
        <w:spacing w:line="360" w:lineRule="auto"/>
        <w:ind w:right="360" w:firstLine="480"/>
        <w:jc w:val="right"/>
        <w:rPr>
          <w:rFonts w:ascii="宋体" w:hAnsi="宋体"/>
          <w:color w:val="000000"/>
          <w:sz w:val="24"/>
        </w:rPr>
      </w:pPr>
    </w:p>
    <w:p>
      <w:pPr>
        <w:adjustRightInd w:val="0"/>
        <w:snapToGrid w:val="0"/>
        <w:jc w:val="left"/>
        <w:rPr>
          <w:rFonts w:ascii="宋体" w:hAnsi="宋体"/>
          <w:color w:val="000000"/>
          <w:sz w:val="24"/>
          <w:szCs w:val="21"/>
        </w:rPr>
      </w:pPr>
    </w:p>
    <w:tbl>
      <w:tblPr>
        <w:tblStyle w:val="40"/>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rFonts w:ascii="宋体" w:hAnsi="宋体"/>
                <w:color w:val="000000"/>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从业人员、营业收入、资产总额填报上一年度数据，无上一年度数据的新成立企业可不填报。</w:t>
            </w:r>
          </w:p>
        </w:tc>
      </w:tr>
    </w:tbl>
    <w:p>
      <w:pPr>
        <w:adjustRightInd w:val="0"/>
        <w:snapToGrid w:val="0"/>
        <w:jc w:val="left"/>
        <w:rPr>
          <w:rFonts w:ascii="宋体" w:hAnsi="宋体"/>
          <w:color w:val="000000"/>
          <w:szCs w:val="21"/>
          <w:vertAlign w:val="superscript"/>
        </w:rPr>
      </w:pPr>
    </w:p>
    <w:p>
      <w:pPr>
        <w:spacing w:line="360" w:lineRule="auto"/>
        <w:ind w:right="360" w:firstLine="480"/>
        <w:jc w:val="right"/>
        <w:rPr>
          <w:rFonts w:ascii="宋体" w:hAnsi="宋体"/>
          <w:color w:val="000000"/>
          <w:sz w:val="24"/>
        </w:rPr>
      </w:pPr>
    </w:p>
    <w:p>
      <w:pPr>
        <w:spacing w:line="360" w:lineRule="auto"/>
        <w:ind w:right="360" w:firstLine="480"/>
        <w:jc w:val="right"/>
        <w:rPr>
          <w:rFonts w:ascii="宋体" w:hAnsi="宋体"/>
          <w:color w:val="000000"/>
          <w:sz w:val="24"/>
        </w:rPr>
      </w:pPr>
    </w:p>
    <w:p>
      <w:pPr>
        <w:spacing w:line="360" w:lineRule="auto"/>
        <w:outlineLvl w:val="2"/>
        <w:rPr>
          <w:rFonts w:ascii="宋体" w:hAnsi="宋体"/>
          <w:color w:val="000000"/>
          <w:sz w:val="24"/>
          <w:szCs w:val="20"/>
        </w:rPr>
      </w:pPr>
      <w:r>
        <w:rPr>
          <w:rFonts w:ascii="宋体" w:hAnsi="宋体"/>
          <w:color w:val="000000"/>
          <w:sz w:val="24"/>
          <w:szCs w:val="20"/>
        </w:rPr>
        <w:br w:type="page"/>
      </w:r>
    </w:p>
    <w:p>
      <w:pPr>
        <w:spacing w:before="240" w:beforeLines="100" w:after="240" w:afterLines="100" w:line="360" w:lineRule="auto"/>
        <w:jc w:val="center"/>
        <w:rPr>
          <w:rFonts w:ascii="宋体" w:hAnsi="宋体"/>
          <w:color w:val="000000"/>
          <w:sz w:val="36"/>
          <w:szCs w:val="36"/>
        </w:rPr>
      </w:pPr>
      <w:r>
        <w:rPr>
          <w:rFonts w:ascii="宋体" w:hAnsi="宋体"/>
          <w:b/>
          <w:bCs/>
          <w:color w:val="000000"/>
          <w:sz w:val="36"/>
          <w:szCs w:val="36"/>
        </w:rPr>
        <w:t>残疾人福利性单位声明函格式</w:t>
      </w:r>
      <w:r>
        <w:rPr>
          <w:rFonts w:ascii="宋体" w:hAnsi="宋体"/>
          <w:color w:val="000000"/>
          <w:sz w:val="36"/>
          <w:szCs w:val="36"/>
        </w:rPr>
        <w:t xml:space="preserve"> </w:t>
      </w:r>
    </w:p>
    <w:p>
      <w:pPr>
        <w:spacing w:line="588" w:lineRule="exact"/>
        <w:ind w:firstLine="504"/>
        <w:rPr>
          <w:rFonts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pPr>
        <w:spacing w:line="588" w:lineRule="exact"/>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pPr>
        <w:spacing w:line="588" w:lineRule="exact"/>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ascii="宋体" w:hAnsi="宋体"/>
          <w:spacing w:val="6"/>
          <w:sz w:val="24"/>
        </w:rPr>
      </w:pPr>
      <w:r>
        <w:rPr>
          <w:rFonts w:ascii="宋体" w:hAnsi="宋体"/>
          <w:b/>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pacing w:val="6"/>
          <w:sz w:val="24"/>
        </w:rPr>
      </w:pPr>
      <w:r>
        <w:rPr>
          <w:rFonts w:ascii="宋体" w:hAnsi="宋体"/>
          <w:spacing w:val="6"/>
          <w:sz w:val="24"/>
        </w:rPr>
        <w:t xml:space="preserve">       日  期：</w:t>
      </w:r>
    </w:p>
    <w:p>
      <w:pPr>
        <w:spacing w:line="360" w:lineRule="auto"/>
        <w:outlineLvl w:val="2"/>
        <w:rPr>
          <w:rFonts w:ascii="宋体" w:hAnsi="宋体"/>
          <w:color w:val="000000"/>
          <w:sz w:val="24"/>
          <w:szCs w:val="20"/>
        </w:rPr>
      </w:pPr>
      <w:r>
        <w:rPr>
          <w:rFonts w:ascii="宋体" w:hAnsi="宋体"/>
          <w:spacing w:val="6"/>
          <w:sz w:val="24"/>
        </w:rPr>
        <w:br w:type="page"/>
      </w:r>
    </w:p>
    <w:p>
      <w:pPr>
        <w:spacing w:before="240" w:beforeLines="100" w:after="240" w:afterLines="100" w:line="360" w:lineRule="auto"/>
        <w:jc w:val="center"/>
        <w:rPr>
          <w:rFonts w:ascii="宋体" w:hAnsi="宋体"/>
          <w:b/>
          <w:bCs/>
          <w:color w:val="000000"/>
          <w:sz w:val="36"/>
          <w:szCs w:val="36"/>
        </w:rPr>
      </w:pPr>
      <w:r>
        <w:rPr>
          <w:b/>
          <w:bCs/>
          <w:color w:val="000000"/>
          <w:sz w:val="36"/>
          <w:szCs w:val="36"/>
        </w:rPr>
        <w:t>中小企业划型标准规定</w:t>
      </w:r>
    </w:p>
    <w:p>
      <w:pPr>
        <w:pStyle w:val="23"/>
        <w:spacing w:line="360" w:lineRule="auto"/>
        <w:rPr>
          <w:rFonts w:hint="default" w:hAnsi="宋体"/>
          <w:sz w:val="24"/>
          <w:szCs w:val="24"/>
        </w:rPr>
      </w:pPr>
      <w:r>
        <w:rPr>
          <w:rFonts w:hAnsi="宋体"/>
          <w:sz w:val="24"/>
          <w:szCs w:val="24"/>
        </w:rPr>
        <w:t>　　一、根据《中华人民共和国中小企业促进法》和《国务院关于进一步促进中小企业发展的若干意见》(国发〔2009〕36号)，制定本规定。</w:t>
      </w:r>
      <w:r>
        <w:rPr>
          <w:rFonts w:hAnsi="宋体"/>
          <w:sz w:val="24"/>
          <w:szCs w:val="24"/>
        </w:rPr>
        <w:br w:type="textWrapping"/>
      </w:r>
      <w:r>
        <w:rPr>
          <w:rFonts w:hAnsi="宋体"/>
          <w:sz w:val="24"/>
          <w:szCs w:val="24"/>
        </w:rPr>
        <w:t>　　二、中小企业划分为中型、小型、微型三种类型，具体标准根据企业从业人员、营业收入、资产总额等指标，结合行业特点制定。</w:t>
      </w:r>
      <w:r>
        <w:rPr>
          <w:rFonts w:hAnsi="宋体"/>
          <w:sz w:val="24"/>
          <w:szCs w:val="24"/>
        </w:rPr>
        <w:br w:type="textWrapping"/>
      </w:r>
      <w:r>
        <w:rPr>
          <w:rFonts w:hAnsi="宋体"/>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ype="textWrapping"/>
      </w:r>
      <w:r>
        <w:rPr>
          <w:rFonts w:hAnsi="宋体"/>
          <w:sz w:val="24"/>
          <w:szCs w:val="24"/>
        </w:rPr>
        <w:t>　　四、各行业划型标准为：</w:t>
      </w:r>
      <w:r>
        <w:rPr>
          <w:rFonts w:hAnsi="宋体"/>
          <w:sz w:val="24"/>
          <w:szCs w:val="24"/>
        </w:rPr>
        <w:br w:type="textWrapping"/>
      </w:r>
      <w:r>
        <w:rPr>
          <w:rFonts w:hAnsi="宋体"/>
          <w:sz w:val="24"/>
          <w:szCs w:val="24"/>
        </w:rPr>
        <w:t>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ype="textWrapping"/>
      </w:r>
      <w:r>
        <w:rPr>
          <w:rFonts w:hAnsi="宋体"/>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ype="textWrapping"/>
      </w:r>
      <w:r>
        <w:rPr>
          <w:rFonts w:hAnsi="宋体"/>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ype="textWrapping"/>
      </w:r>
      <w:r>
        <w:rPr>
          <w:rFonts w:hAnsi="宋体"/>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ype="textWrapping"/>
      </w:r>
      <w:r>
        <w:rPr>
          <w:rFonts w:hAnsi="宋体"/>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ype="textWrapping"/>
      </w:r>
      <w:r>
        <w:rPr>
          <w:rFonts w:hAnsi="宋体"/>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ype="textWrapping"/>
      </w:r>
      <w:r>
        <w:rPr>
          <w:rFonts w:hAnsi="宋体"/>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ype="textWrapping"/>
      </w:r>
      <w:r>
        <w:rPr>
          <w:rFonts w:hAnsi="宋体"/>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Ansi="宋体"/>
          <w:sz w:val="24"/>
          <w:szCs w:val="24"/>
        </w:rPr>
        <w:br w:type="textWrapping"/>
      </w:r>
      <w:r>
        <w:rPr>
          <w:rFonts w:hAnsi="宋体"/>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ype="textWrapping"/>
      </w:r>
      <w:r>
        <w:rPr>
          <w:rFonts w:hAnsi="宋体"/>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ype="textWrapping"/>
      </w:r>
      <w:r>
        <w:rPr>
          <w:rFonts w:hAnsi="宋体"/>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ype="textWrapping"/>
      </w:r>
      <w:r>
        <w:rPr>
          <w:rFonts w:hAnsi="宋体"/>
          <w:b/>
          <w:bCs/>
          <w:sz w:val="24"/>
          <w:szCs w:val="24"/>
        </w:rPr>
        <w:t>　　（十六）其他未列明行业。从业人员300人以下的为中小微型企业。其中，从业人员100人及以上的为中型企业；从业人员10人及以上的为小型企业；从业人员10人以下的为微型企业。</w:t>
      </w:r>
      <w:r>
        <w:rPr>
          <w:rFonts w:hAnsi="宋体"/>
          <w:b/>
          <w:bCs/>
          <w:sz w:val="24"/>
          <w:szCs w:val="24"/>
        </w:rPr>
        <w:br w:type="textWrapping"/>
      </w:r>
      <w:r>
        <w:rPr>
          <w:rFonts w:hAnsi="宋体"/>
          <w:sz w:val="24"/>
          <w:szCs w:val="24"/>
        </w:rPr>
        <w:t>　　五、企业类型的划分以统计部门的统计数据为依据。</w:t>
      </w:r>
      <w:r>
        <w:rPr>
          <w:rFonts w:hAnsi="宋体"/>
          <w:sz w:val="24"/>
          <w:szCs w:val="24"/>
        </w:rPr>
        <w:br w:type="textWrapping"/>
      </w:r>
      <w:r>
        <w:rPr>
          <w:rFonts w:hAnsi="宋体"/>
          <w:sz w:val="24"/>
          <w:szCs w:val="24"/>
        </w:rPr>
        <w:t>　　六、本规定适用于在中华人民共和国境内依法设立的各类所有制和各种组织形式的企业。个体工商户和本规定以外的行业，参照本规定进行划型。</w:t>
      </w:r>
      <w:r>
        <w:rPr>
          <w:rFonts w:hAnsi="宋体"/>
          <w:sz w:val="24"/>
          <w:szCs w:val="24"/>
        </w:rPr>
        <w:br w:type="textWrapping"/>
      </w:r>
      <w:r>
        <w:rPr>
          <w:rFonts w:hAnsi="宋体"/>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ype="textWrapping"/>
      </w:r>
      <w:r>
        <w:rPr>
          <w:rFonts w:hAnsi="宋体"/>
          <w:sz w:val="24"/>
          <w:szCs w:val="24"/>
        </w:rPr>
        <w:t>　　八、本规定由工业和信息化部、国家统计局会同有关部门根据《国民经济行业分类》修订情况和企业发展变化情况适时修订。</w:t>
      </w:r>
      <w:r>
        <w:rPr>
          <w:rFonts w:hAnsi="宋体"/>
          <w:sz w:val="24"/>
          <w:szCs w:val="24"/>
        </w:rPr>
        <w:br w:type="textWrapping"/>
      </w:r>
      <w:r>
        <w:rPr>
          <w:rFonts w:hAnsi="宋体"/>
          <w:sz w:val="24"/>
          <w:szCs w:val="24"/>
        </w:rPr>
        <w:t>　　九、本规定由工业和信息化部、国家统计局会同有关部门负责解释。</w:t>
      </w:r>
      <w:r>
        <w:rPr>
          <w:rFonts w:hAnsi="宋体"/>
          <w:sz w:val="24"/>
          <w:szCs w:val="24"/>
        </w:rPr>
        <w:br w:type="textWrapping"/>
      </w:r>
      <w:r>
        <w:rPr>
          <w:rFonts w:hAnsi="宋体"/>
          <w:sz w:val="24"/>
          <w:szCs w:val="24"/>
        </w:rPr>
        <w:t>　　十、本规定自发布之日起执行，原国家经贸委、原国家计委、财政部和国家统计局2003年颁布的《中小企业标准暂行规定》同时废止。</w:t>
      </w:r>
    </w:p>
    <w:p/>
    <w:p>
      <w:pPr>
        <w:tabs>
          <w:tab w:val="left" w:pos="4860"/>
        </w:tabs>
        <w:spacing w:line="588" w:lineRule="exact"/>
        <w:ind w:right="1560" w:firstLine="504" w:firstLineChars="200"/>
        <w:jc w:val="center"/>
        <w:rPr>
          <w:rFonts w:ascii="宋体" w:hAnsi="宋体"/>
          <w:spacing w:val="6"/>
          <w:sz w:val="24"/>
        </w:rPr>
      </w:pPr>
    </w:p>
    <w:p>
      <w:pPr>
        <w:spacing w:line="360" w:lineRule="auto"/>
        <w:outlineLvl w:val="2"/>
        <w:rPr>
          <w:rFonts w:ascii="宋体" w:hAnsi="宋体"/>
          <w:color w:val="000000"/>
          <w:sz w:val="24"/>
          <w:szCs w:val="20"/>
        </w:rPr>
      </w:pPr>
      <w:r>
        <w:rPr>
          <w:rFonts w:ascii="宋体" w:hAnsi="宋体"/>
          <w:color w:val="000000"/>
          <w:szCs w:val="20"/>
        </w:rPr>
        <w:br w:type="page"/>
      </w:r>
    </w:p>
    <w:p>
      <w:pPr>
        <w:spacing w:line="360" w:lineRule="auto"/>
        <w:outlineLvl w:val="2"/>
        <w:rPr>
          <w:color w:val="000000"/>
          <w:sz w:val="24"/>
          <w:szCs w:val="20"/>
        </w:rPr>
      </w:pPr>
      <w:r>
        <w:rPr>
          <w:rFonts w:hint="eastAsia"/>
          <w:color w:val="000000"/>
          <w:sz w:val="24"/>
          <w:szCs w:val="20"/>
        </w:rPr>
        <w:t>8</w:t>
      </w:r>
      <w:r>
        <w:rPr>
          <w:color w:val="000000"/>
          <w:sz w:val="24"/>
          <w:szCs w:val="20"/>
        </w:rPr>
        <w:t xml:space="preserve">  拟分包情况说明（类型二）</w:t>
      </w:r>
      <w:r>
        <w:rPr>
          <w:color w:val="000000"/>
          <w:sz w:val="24"/>
        </w:rPr>
        <w:t>（实质性格式）</w:t>
      </w:r>
      <w:r>
        <w:rPr>
          <w:b/>
          <w:color w:val="000000"/>
          <w:sz w:val="24"/>
          <w:szCs w:val="20"/>
        </w:rPr>
        <w:t>（本项目不涉及）</w:t>
      </w:r>
    </w:p>
    <w:p>
      <w:pPr>
        <w:autoSpaceDE w:val="0"/>
        <w:autoSpaceDN w:val="0"/>
        <w:adjustRightInd w:val="0"/>
        <w:jc w:val="center"/>
        <w:rPr>
          <w:color w:val="000000"/>
          <w:sz w:val="30"/>
          <w:szCs w:val="30"/>
        </w:rPr>
      </w:pPr>
    </w:p>
    <w:p>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w:t>
      </w:r>
      <w:r>
        <w:rPr>
          <w:rFonts w:hint="eastAsia"/>
          <w:sz w:val="24"/>
        </w:rPr>
        <w:t>响应</w:t>
      </w:r>
      <w:r>
        <w:rPr>
          <w:sz w:val="24"/>
        </w:rPr>
        <w:t>。拟签订分包合同的单位情况如下表所示，我单位承诺一旦在该项目中获得采购合同将按下表所列情况进行分包，同时承诺分包承担主体不再次分包。</w:t>
      </w:r>
    </w:p>
    <w:tbl>
      <w:tblPr>
        <w:tblStyle w:val="40"/>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shd w:val="clear" w:color="auto" w:fill="auto"/>
            <w:vAlign w:val="center"/>
          </w:tcPr>
          <w:p>
            <w:pPr>
              <w:pStyle w:val="255"/>
              <w:jc w:val="center"/>
              <w:rPr>
                <w:sz w:val="24"/>
              </w:rPr>
            </w:pPr>
            <w:r>
              <w:rPr>
                <w:sz w:val="24"/>
              </w:rPr>
              <w:t>序号</w:t>
            </w:r>
          </w:p>
        </w:tc>
        <w:tc>
          <w:tcPr>
            <w:tcW w:w="1287" w:type="dxa"/>
            <w:shd w:val="clear" w:color="auto" w:fill="auto"/>
            <w:vAlign w:val="center"/>
          </w:tcPr>
          <w:p>
            <w:pPr>
              <w:pStyle w:val="255"/>
              <w:jc w:val="center"/>
              <w:rPr>
                <w:sz w:val="24"/>
              </w:rPr>
            </w:pPr>
            <w:r>
              <w:rPr>
                <w:sz w:val="24"/>
              </w:rPr>
              <w:t>分包承担</w:t>
            </w:r>
          </w:p>
          <w:p>
            <w:pPr>
              <w:pStyle w:val="255"/>
              <w:jc w:val="center"/>
              <w:rPr>
                <w:sz w:val="24"/>
              </w:rPr>
            </w:pPr>
            <w:r>
              <w:rPr>
                <w:sz w:val="24"/>
              </w:rPr>
              <w:t>主体名称</w:t>
            </w:r>
          </w:p>
        </w:tc>
        <w:tc>
          <w:tcPr>
            <w:tcW w:w="1513" w:type="dxa"/>
            <w:shd w:val="clear" w:color="auto" w:fill="auto"/>
            <w:vAlign w:val="center"/>
          </w:tcPr>
          <w:p>
            <w:pPr>
              <w:pStyle w:val="255"/>
              <w:jc w:val="center"/>
              <w:rPr>
                <w:sz w:val="24"/>
                <w:lang w:eastAsia="zh-CN"/>
              </w:rPr>
            </w:pPr>
            <w:r>
              <w:rPr>
                <w:sz w:val="24"/>
                <w:lang w:eastAsia="zh-CN"/>
              </w:rPr>
              <w:t>分包承担</w:t>
            </w:r>
          </w:p>
          <w:p>
            <w:pPr>
              <w:pStyle w:val="255"/>
              <w:jc w:val="center"/>
              <w:rPr>
                <w:sz w:val="24"/>
                <w:lang w:eastAsia="zh-CN"/>
              </w:rPr>
            </w:pPr>
            <w:r>
              <w:rPr>
                <w:sz w:val="24"/>
                <w:lang w:eastAsia="zh-CN"/>
              </w:rPr>
              <w:t>主体类型</w:t>
            </w:r>
          </w:p>
          <w:p>
            <w:pPr>
              <w:pStyle w:val="255"/>
              <w:jc w:val="center"/>
              <w:rPr>
                <w:sz w:val="24"/>
                <w:lang w:eastAsia="zh-CN"/>
              </w:rPr>
            </w:pPr>
            <w:r>
              <w:rPr>
                <w:rFonts w:hint="eastAsia"/>
                <w:sz w:val="24"/>
                <w:lang w:eastAsia="zh-CN"/>
              </w:rPr>
              <w:t>（勾选）</w:t>
            </w:r>
          </w:p>
        </w:tc>
        <w:tc>
          <w:tcPr>
            <w:tcW w:w="1125" w:type="dxa"/>
            <w:shd w:val="clear" w:color="auto" w:fill="auto"/>
            <w:vAlign w:val="center"/>
          </w:tcPr>
          <w:p>
            <w:pPr>
              <w:pStyle w:val="255"/>
              <w:jc w:val="center"/>
              <w:rPr>
                <w:sz w:val="24"/>
              </w:rPr>
            </w:pPr>
            <w:r>
              <w:rPr>
                <w:sz w:val="24"/>
              </w:rPr>
              <w:t>资质等级</w:t>
            </w:r>
          </w:p>
        </w:tc>
        <w:tc>
          <w:tcPr>
            <w:tcW w:w="1558" w:type="dxa"/>
            <w:shd w:val="clear" w:color="auto" w:fill="auto"/>
            <w:vAlign w:val="center"/>
          </w:tcPr>
          <w:p>
            <w:pPr>
              <w:pStyle w:val="255"/>
              <w:jc w:val="center"/>
              <w:rPr>
                <w:sz w:val="24"/>
              </w:rPr>
            </w:pPr>
            <w:r>
              <w:rPr>
                <w:sz w:val="24"/>
              </w:rPr>
              <w:t>拟分包</w:t>
            </w:r>
          </w:p>
          <w:p>
            <w:pPr>
              <w:pStyle w:val="255"/>
              <w:jc w:val="center"/>
              <w:rPr>
                <w:sz w:val="24"/>
              </w:rPr>
            </w:pPr>
            <w:r>
              <w:rPr>
                <w:sz w:val="24"/>
              </w:rPr>
              <w:t>合同内容</w:t>
            </w:r>
          </w:p>
        </w:tc>
        <w:tc>
          <w:tcPr>
            <w:tcW w:w="1498" w:type="dxa"/>
            <w:shd w:val="clear" w:color="auto" w:fill="auto"/>
            <w:vAlign w:val="center"/>
          </w:tcPr>
          <w:p>
            <w:pPr>
              <w:pStyle w:val="255"/>
              <w:jc w:val="center"/>
              <w:rPr>
                <w:sz w:val="24"/>
                <w:lang w:eastAsia="zh-CN"/>
              </w:rPr>
            </w:pPr>
            <w:r>
              <w:rPr>
                <w:sz w:val="24"/>
                <w:lang w:eastAsia="zh-CN"/>
              </w:rPr>
              <w:t>拟分包</w:t>
            </w:r>
          </w:p>
          <w:p>
            <w:pPr>
              <w:pStyle w:val="255"/>
              <w:jc w:val="center"/>
              <w:rPr>
                <w:sz w:val="24"/>
                <w:lang w:eastAsia="zh-CN"/>
              </w:rPr>
            </w:pPr>
            <w:r>
              <w:rPr>
                <w:sz w:val="24"/>
                <w:lang w:eastAsia="zh-CN"/>
              </w:rPr>
              <w:t>合同金额</w:t>
            </w:r>
          </w:p>
          <w:p>
            <w:pPr>
              <w:pStyle w:val="255"/>
              <w:jc w:val="center"/>
              <w:rPr>
                <w:sz w:val="24"/>
                <w:lang w:eastAsia="zh-CN"/>
              </w:rPr>
            </w:pPr>
            <w:r>
              <w:rPr>
                <w:sz w:val="24"/>
                <w:lang w:eastAsia="zh-CN"/>
              </w:rPr>
              <w:t>（人民币元）</w:t>
            </w:r>
          </w:p>
        </w:tc>
        <w:tc>
          <w:tcPr>
            <w:tcW w:w="1564" w:type="dxa"/>
            <w:shd w:val="clear" w:color="auto" w:fill="auto"/>
            <w:vAlign w:val="center"/>
          </w:tcPr>
          <w:p>
            <w:pPr>
              <w:pStyle w:val="255"/>
              <w:jc w:val="center"/>
              <w:rPr>
                <w:b/>
                <w:sz w:val="24"/>
                <w:lang w:eastAsia="zh-CN"/>
              </w:rPr>
            </w:pPr>
            <w:r>
              <w:rPr>
                <w:b/>
                <w:sz w:val="24"/>
                <w:lang w:eastAsia="zh-CN"/>
              </w:rPr>
              <w:t>占</w:t>
            </w:r>
            <w:r>
              <w:rPr>
                <w:rFonts w:hint="eastAsia"/>
                <w:b/>
                <w:sz w:val="24"/>
                <w:lang w:eastAsia="zh-CN"/>
              </w:rPr>
              <w:t>响应报价</w:t>
            </w:r>
          </w:p>
          <w:p>
            <w:pPr>
              <w:pStyle w:val="255"/>
              <w:jc w:val="center"/>
              <w:rPr>
                <w:sz w:val="24"/>
                <w:lang w:eastAsia="zh-CN"/>
              </w:rPr>
            </w:pPr>
            <w:r>
              <w:rPr>
                <w:b/>
                <w:sz w:val="24"/>
                <w:lang w:eastAsia="zh-CN"/>
              </w:rPr>
              <w:t>的比例</w:t>
            </w:r>
            <w:r>
              <w:rPr>
                <w:rFonts w:hint="eastAsia"/>
                <w:b/>
                <w:sz w:val="24"/>
                <w:lang w:eastAsia="zh-CN"/>
              </w:rPr>
              <w:t>（</w:t>
            </w:r>
            <w:r>
              <w:rPr>
                <w:rFonts w:ascii="Times New Roman" w:eastAsia="Times New Roman"/>
                <w:b/>
                <w:sz w:val="24"/>
                <w:lang w:eastAsia="zh-CN"/>
              </w:rPr>
              <w:t>%</w:t>
            </w:r>
            <w:r>
              <w:rPr>
                <w:rFonts w:hint="eastAsia"/>
                <w:b/>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pPr>
              <w:pStyle w:val="255"/>
              <w:jc w:val="center"/>
              <w:rPr>
                <w:rFonts w:ascii="Times New Roman"/>
                <w:sz w:val="24"/>
              </w:rPr>
            </w:pPr>
            <w:r>
              <w:rPr>
                <w:rFonts w:ascii="Times New Roman"/>
                <w:sz w:val="24"/>
              </w:rPr>
              <w:t>1</w:t>
            </w:r>
          </w:p>
        </w:tc>
        <w:tc>
          <w:tcPr>
            <w:tcW w:w="1287" w:type="dxa"/>
            <w:shd w:val="clear" w:color="auto" w:fill="auto"/>
            <w:vAlign w:val="center"/>
          </w:tcPr>
          <w:p>
            <w:pPr>
              <w:pStyle w:val="255"/>
              <w:jc w:val="center"/>
              <w:rPr>
                <w:rFonts w:ascii="Times New Roman" w:hAnsi="Times New Roman" w:cs="Times New Roman"/>
                <w:sz w:val="30"/>
              </w:rPr>
            </w:pPr>
          </w:p>
        </w:tc>
        <w:tc>
          <w:tcPr>
            <w:tcW w:w="1513" w:type="dxa"/>
            <w:shd w:val="clear" w:color="auto" w:fill="auto"/>
            <w:vAlign w:val="center"/>
          </w:tcPr>
          <w:p>
            <w:pPr>
              <w:pStyle w:val="25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pPr>
              <w:pStyle w:val="25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shd w:val="clear" w:color="auto" w:fill="auto"/>
            <w:vAlign w:val="center"/>
          </w:tcPr>
          <w:p>
            <w:pPr>
              <w:pStyle w:val="255"/>
              <w:jc w:val="center"/>
              <w:rPr>
                <w:rFonts w:ascii="Times New Roman"/>
                <w:sz w:val="30"/>
                <w:lang w:eastAsia="zh-CN"/>
              </w:rPr>
            </w:pPr>
          </w:p>
        </w:tc>
        <w:tc>
          <w:tcPr>
            <w:tcW w:w="1558" w:type="dxa"/>
            <w:shd w:val="clear" w:color="auto" w:fill="auto"/>
            <w:vAlign w:val="center"/>
          </w:tcPr>
          <w:p>
            <w:pPr>
              <w:pStyle w:val="255"/>
              <w:jc w:val="center"/>
              <w:rPr>
                <w:rFonts w:ascii="Times New Roman"/>
                <w:sz w:val="30"/>
                <w:lang w:eastAsia="zh-CN"/>
              </w:rPr>
            </w:pPr>
          </w:p>
        </w:tc>
        <w:tc>
          <w:tcPr>
            <w:tcW w:w="1498" w:type="dxa"/>
            <w:shd w:val="clear" w:color="auto" w:fill="auto"/>
            <w:vAlign w:val="center"/>
          </w:tcPr>
          <w:p>
            <w:pPr>
              <w:pStyle w:val="255"/>
              <w:jc w:val="center"/>
              <w:rPr>
                <w:rFonts w:ascii="Times New Roman"/>
                <w:sz w:val="30"/>
                <w:lang w:eastAsia="zh-CN"/>
              </w:rPr>
            </w:pPr>
          </w:p>
        </w:tc>
        <w:tc>
          <w:tcPr>
            <w:tcW w:w="1564" w:type="dxa"/>
            <w:shd w:val="clear" w:color="auto" w:fill="auto"/>
            <w:vAlign w:val="center"/>
          </w:tcPr>
          <w:p>
            <w:pPr>
              <w:pStyle w:val="255"/>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pPr>
              <w:pStyle w:val="255"/>
              <w:jc w:val="center"/>
              <w:rPr>
                <w:rFonts w:ascii="Times New Roman"/>
                <w:sz w:val="24"/>
                <w:lang w:eastAsia="zh-CN"/>
              </w:rPr>
            </w:pPr>
            <w:r>
              <w:rPr>
                <w:rFonts w:hint="eastAsia" w:ascii="Times New Roman"/>
                <w:sz w:val="24"/>
                <w:lang w:eastAsia="zh-CN"/>
              </w:rPr>
              <w:t>2</w:t>
            </w:r>
          </w:p>
        </w:tc>
        <w:tc>
          <w:tcPr>
            <w:tcW w:w="1287" w:type="dxa"/>
            <w:shd w:val="clear" w:color="auto" w:fill="auto"/>
            <w:vAlign w:val="center"/>
          </w:tcPr>
          <w:p>
            <w:pPr>
              <w:pStyle w:val="255"/>
              <w:jc w:val="center"/>
              <w:rPr>
                <w:rFonts w:ascii="Times New Roman"/>
                <w:sz w:val="30"/>
              </w:rPr>
            </w:pPr>
          </w:p>
        </w:tc>
        <w:tc>
          <w:tcPr>
            <w:tcW w:w="1513" w:type="dxa"/>
            <w:shd w:val="clear" w:color="auto" w:fill="auto"/>
            <w:vAlign w:val="center"/>
          </w:tcPr>
          <w:p>
            <w:pPr>
              <w:pStyle w:val="25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pPr>
              <w:pStyle w:val="25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shd w:val="clear" w:color="auto" w:fill="auto"/>
            <w:vAlign w:val="center"/>
          </w:tcPr>
          <w:p>
            <w:pPr>
              <w:pStyle w:val="255"/>
              <w:jc w:val="center"/>
              <w:rPr>
                <w:rFonts w:ascii="Times New Roman"/>
                <w:sz w:val="30"/>
                <w:lang w:eastAsia="zh-CN"/>
              </w:rPr>
            </w:pPr>
          </w:p>
        </w:tc>
        <w:tc>
          <w:tcPr>
            <w:tcW w:w="1558" w:type="dxa"/>
            <w:shd w:val="clear" w:color="auto" w:fill="auto"/>
            <w:vAlign w:val="center"/>
          </w:tcPr>
          <w:p>
            <w:pPr>
              <w:pStyle w:val="255"/>
              <w:jc w:val="center"/>
              <w:rPr>
                <w:rFonts w:ascii="Times New Roman"/>
                <w:sz w:val="30"/>
                <w:lang w:eastAsia="zh-CN"/>
              </w:rPr>
            </w:pPr>
          </w:p>
        </w:tc>
        <w:tc>
          <w:tcPr>
            <w:tcW w:w="1498" w:type="dxa"/>
            <w:shd w:val="clear" w:color="auto" w:fill="auto"/>
            <w:vAlign w:val="center"/>
          </w:tcPr>
          <w:p>
            <w:pPr>
              <w:pStyle w:val="255"/>
              <w:jc w:val="center"/>
              <w:rPr>
                <w:rFonts w:ascii="Times New Roman"/>
                <w:sz w:val="30"/>
                <w:lang w:eastAsia="zh-CN"/>
              </w:rPr>
            </w:pPr>
          </w:p>
        </w:tc>
        <w:tc>
          <w:tcPr>
            <w:tcW w:w="1564" w:type="dxa"/>
            <w:shd w:val="clear" w:color="auto" w:fill="auto"/>
            <w:vAlign w:val="center"/>
          </w:tcPr>
          <w:p>
            <w:pPr>
              <w:pStyle w:val="255"/>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pPr>
              <w:pStyle w:val="255"/>
              <w:jc w:val="center"/>
              <w:rPr>
                <w:rFonts w:ascii="Times New Roman"/>
                <w:sz w:val="24"/>
                <w:lang w:eastAsia="zh-CN"/>
              </w:rPr>
            </w:pPr>
            <w:r>
              <w:rPr>
                <w:rFonts w:ascii="Times New Roman"/>
                <w:sz w:val="24"/>
                <w:lang w:eastAsia="zh-CN"/>
              </w:rPr>
              <w:t>…</w:t>
            </w:r>
          </w:p>
        </w:tc>
        <w:tc>
          <w:tcPr>
            <w:tcW w:w="1287" w:type="dxa"/>
            <w:shd w:val="clear" w:color="auto" w:fill="auto"/>
            <w:vAlign w:val="center"/>
          </w:tcPr>
          <w:p>
            <w:pPr>
              <w:pStyle w:val="255"/>
              <w:jc w:val="center"/>
              <w:rPr>
                <w:rFonts w:ascii="Times New Roman"/>
                <w:sz w:val="30"/>
              </w:rPr>
            </w:pPr>
          </w:p>
        </w:tc>
        <w:tc>
          <w:tcPr>
            <w:tcW w:w="1513" w:type="dxa"/>
            <w:shd w:val="clear" w:color="auto" w:fill="auto"/>
            <w:vAlign w:val="center"/>
          </w:tcPr>
          <w:p>
            <w:pPr>
              <w:pStyle w:val="255"/>
              <w:tabs>
                <w:tab w:val="left" w:pos="235"/>
              </w:tabs>
              <w:jc w:val="center"/>
              <w:rPr>
                <w:sz w:val="24"/>
              </w:rPr>
            </w:pPr>
          </w:p>
        </w:tc>
        <w:tc>
          <w:tcPr>
            <w:tcW w:w="1125" w:type="dxa"/>
            <w:shd w:val="clear" w:color="auto" w:fill="auto"/>
            <w:vAlign w:val="center"/>
          </w:tcPr>
          <w:p>
            <w:pPr>
              <w:pStyle w:val="255"/>
              <w:jc w:val="center"/>
              <w:rPr>
                <w:rFonts w:ascii="Times New Roman"/>
                <w:sz w:val="30"/>
              </w:rPr>
            </w:pPr>
          </w:p>
        </w:tc>
        <w:tc>
          <w:tcPr>
            <w:tcW w:w="1558" w:type="dxa"/>
            <w:shd w:val="clear" w:color="auto" w:fill="auto"/>
            <w:vAlign w:val="center"/>
          </w:tcPr>
          <w:p>
            <w:pPr>
              <w:pStyle w:val="255"/>
              <w:jc w:val="center"/>
              <w:rPr>
                <w:rFonts w:ascii="Times New Roman"/>
                <w:sz w:val="30"/>
              </w:rPr>
            </w:pPr>
          </w:p>
        </w:tc>
        <w:tc>
          <w:tcPr>
            <w:tcW w:w="1498" w:type="dxa"/>
            <w:shd w:val="clear" w:color="auto" w:fill="auto"/>
            <w:vAlign w:val="center"/>
          </w:tcPr>
          <w:p>
            <w:pPr>
              <w:pStyle w:val="255"/>
              <w:jc w:val="center"/>
              <w:rPr>
                <w:rFonts w:ascii="Times New Roman"/>
                <w:sz w:val="30"/>
              </w:rPr>
            </w:pPr>
          </w:p>
        </w:tc>
        <w:tc>
          <w:tcPr>
            <w:tcW w:w="1564" w:type="dxa"/>
            <w:shd w:val="clear" w:color="auto" w:fill="auto"/>
            <w:vAlign w:val="center"/>
          </w:tcPr>
          <w:p>
            <w:pPr>
              <w:pStyle w:val="255"/>
              <w:jc w:val="center"/>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shd w:val="clear" w:color="auto" w:fill="auto"/>
            <w:vAlign w:val="center"/>
          </w:tcPr>
          <w:p>
            <w:pPr>
              <w:pStyle w:val="255"/>
              <w:ind w:right="57" w:rightChars="27"/>
              <w:jc w:val="right"/>
              <w:rPr>
                <w:sz w:val="24"/>
                <w:lang w:eastAsia="zh-CN"/>
              </w:rPr>
            </w:pPr>
            <w:r>
              <w:rPr>
                <w:rFonts w:hint="eastAsia"/>
                <w:sz w:val="24"/>
                <w:lang w:eastAsia="zh-CN"/>
              </w:rPr>
              <w:t>合计：</w:t>
            </w:r>
          </w:p>
        </w:tc>
        <w:tc>
          <w:tcPr>
            <w:tcW w:w="1498" w:type="dxa"/>
            <w:shd w:val="clear" w:color="auto" w:fill="auto"/>
            <w:vAlign w:val="center"/>
          </w:tcPr>
          <w:p>
            <w:pPr>
              <w:pStyle w:val="255"/>
              <w:jc w:val="center"/>
              <w:rPr>
                <w:rFonts w:ascii="Times New Roman"/>
                <w:sz w:val="30"/>
              </w:rPr>
            </w:pPr>
          </w:p>
        </w:tc>
        <w:tc>
          <w:tcPr>
            <w:tcW w:w="1564" w:type="dxa"/>
            <w:shd w:val="clear" w:color="auto" w:fill="auto"/>
            <w:vAlign w:val="center"/>
          </w:tcPr>
          <w:p>
            <w:pPr>
              <w:pStyle w:val="255"/>
              <w:jc w:val="center"/>
              <w:rPr>
                <w:rFonts w:ascii="Times New Roman"/>
                <w:sz w:val="30"/>
              </w:rPr>
            </w:pPr>
          </w:p>
        </w:tc>
      </w:tr>
    </w:tbl>
    <w:p>
      <w:pPr>
        <w:adjustRightInd w:val="0"/>
        <w:snapToGrid w:val="0"/>
        <w:spacing w:line="360" w:lineRule="auto"/>
        <w:ind w:firstLine="480" w:firstLineChars="200"/>
        <w:jc w:val="left"/>
        <w:rPr>
          <w:sz w:val="24"/>
        </w:rPr>
      </w:pPr>
    </w:p>
    <w:p>
      <w:pPr>
        <w:adjustRightInd w:val="0"/>
        <w:snapToGrid w:val="0"/>
        <w:spacing w:line="360" w:lineRule="auto"/>
        <w:jc w:val="left"/>
        <w:rPr>
          <w:sz w:val="24"/>
        </w:rPr>
      </w:pPr>
      <w:r>
        <w:rPr>
          <w:sz w:val="24"/>
        </w:rPr>
        <w:t>注：</w:t>
      </w:r>
      <w:r>
        <w:rPr>
          <w:color w:val="FF0000"/>
          <w:sz w:val="24"/>
        </w:rPr>
        <w:t xml:space="preserve"> </w:t>
      </w:r>
    </w:p>
    <w:p>
      <w:pPr>
        <w:adjustRightInd w:val="0"/>
        <w:snapToGrid w:val="0"/>
        <w:spacing w:line="360" w:lineRule="auto"/>
        <w:jc w:val="left"/>
        <w:rPr>
          <w:sz w:val="24"/>
        </w:rPr>
      </w:pPr>
      <w:r>
        <w:rPr>
          <w:sz w:val="24"/>
        </w:rPr>
        <w:t>1.本表仅在</w:t>
      </w:r>
      <w:r>
        <w:rPr>
          <w:rFonts w:hint="eastAsia"/>
          <w:sz w:val="24"/>
        </w:rPr>
        <w:t>供应商</w:t>
      </w:r>
      <w:r>
        <w:rPr>
          <w:sz w:val="24"/>
        </w:rPr>
        <w:t>非因“为落实政府采购政策”而分包时填写；</w:t>
      </w:r>
      <w:r>
        <w:rPr>
          <w:rFonts w:hint="eastAsia"/>
          <w:sz w:val="24"/>
        </w:rPr>
        <w:t>供应商</w:t>
      </w:r>
      <w:r>
        <w:rPr>
          <w:sz w:val="24"/>
        </w:rPr>
        <w:t>“为落实政府采购政策”而向中小企业分包时请按照《</w:t>
      </w:r>
      <w:r>
        <w:rPr>
          <w:color w:val="000000"/>
          <w:sz w:val="24"/>
          <w:szCs w:val="20"/>
        </w:rPr>
        <w:t>拟分包情况说明及分包意向协议</w:t>
      </w:r>
      <w:r>
        <w:rPr>
          <w:sz w:val="24"/>
        </w:rPr>
        <w:t>》（类型一）要求填写。</w:t>
      </w:r>
    </w:p>
    <w:p>
      <w:pPr>
        <w:adjustRightInd w:val="0"/>
        <w:snapToGrid w:val="0"/>
        <w:spacing w:line="360" w:lineRule="auto"/>
        <w:jc w:val="left"/>
        <w:rPr>
          <w:sz w:val="24"/>
        </w:rPr>
      </w:pPr>
      <w:r>
        <w:rPr>
          <w:sz w:val="24"/>
        </w:rPr>
        <w:t>2.如本</w:t>
      </w:r>
      <w:r>
        <w:rPr>
          <w:rFonts w:hint="eastAsia"/>
          <w:sz w:val="24"/>
        </w:rPr>
        <w:t>比选文件</w:t>
      </w:r>
      <w:r>
        <w:rPr>
          <w:sz w:val="24"/>
        </w:rPr>
        <w:t>《</w:t>
      </w:r>
      <w:r>
        <w:rPr>
          <w:rFonts w:hint="eastAsia"/>
          <w:sz w:val="24"/>
        </w:rPr>
        <w:t>供应商</w:t>
      </w:r>
      <w:r>
        <w:rPr>
          <w:sz w:val="24"/>
        </w:rPr>
        <w:t>须知资料表》载明本项目分包承担主体应具备的相应资质条件，则</w:t>
      </w:r>
      <w:r>
        <w:rPr>
          <w:rFonts w:hint="eastAsia"/>
          <w:sz w:val="24"/>
        </w:rPr>
        <w:t>供应商</w:t>
      </w:r>
      <w:r>
        <w:rPr>
          <w:sz w:val="24"/>
        </w:rPr>
        <w:t>须在本表中列明分包承担主体的资质等级，并后附资质证书</w:t>
      </w:r>
      <w:r>
        <w:rPr>
          <w:rFonts w:hint="eastAsia"/>
          <w:sz w:val="24"/>
        </w:rPr>
        <w:t>电子件，</w:t>
      </w:r>
      <w:r>
        <w:rPr>
          <w:sz w:val="24"/>
        </w:rPr>
        <w:t>否则</w:t>
      </w:r>
      <w:r>
        <w:rPr>
          <w:rFonts w:hint="eastAsia"/>
          <w:b/>
          <w:sz w:val="24"/>
        </w:rPr>
        <w:t>响应</w:t>
      </w:r>
      <w:r>
        <w:rPr>
          <w:b/>
          <w:sz w:val="24"/>
        </w:rPr>
        <w:t>无效</w:t>
      </w:r>
      <w:r>
        <w:rPr>
          <w:sz w:val="24"/>
        </w:rPr>
        <w:t>。</w:t>
      </w: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ind w:firstLine="480" w:firstLineChars="200"/>
        <w:jc w:val="right"/>
        <w:rPr>
          <w:sz w:val="24"/>
        </w:rPr>
      </w:pPr>
      <w:r>
        <w:rPr>
          <w:rFonts w:hint="eastAsia"/>
          <w:sz w:val="24"/>
        </w:rPr>
        <w:t>供应商</w:t>
      </w:r>
      <w:r>
        <w:rPr>
          <w:sz w:val="24"/>
        </w:rPr>
        <w:t>名称（盖章）：______</w:t>
      </w:r>
    </w:p>
    <w:p>
      <w:pPr>
        <w:adjustRightInd w:val="0"/>
        <w:snapToGrid w:val="0"/>
        <w:spacing w:line="360" w:lineRule="auto"/>
        <w:ind w:firstLine="480" w:firstLineChars="200"/>
        <w:jc w:val="right"/>
        <w:rPr>
          <w:sz w:val="24"/>
        </w:rPr>
      </w:pPr>
      <w:r>
        <w:rPr>
          <w:color w:val="000000"/>
          <w:sz w:val="24"/>
        </w:rPr>
        <w:t>日期：_____年______月______日</w:t>
      </w:r>
    </w:p>
    <w:p>
      <w:pPr>
        <w:spacing w:line="360" w:lineRule="auto"/>
        <w:rPr>
          <w:b/>
          <w:color w:val="000000"/>
          <w:sz w:val="24"/>
        </w:rPr>
      </w:pPr>
    </w:p>
    <w:p>
      <w:pPr>
        <w:spacing w:line="360" w:lineRule="auto"/>
        <w:outlineLvl w:val="2"/>
        <w:rPr>
          <w:rFonts w:ascii="宋体" w:hAnsi="宋体"/>
          <w:color w:val="000000"/>
          <w:sz w:val="24"/>
          <w:szCs w:val="20"/>
        </w:rPr>
      </w:pPr>
      <w:r>
        <w:rPr>
          <w:color w:val="000000"/>
          <w:sz w:val="24"/>
          <w:szCs w:val="20"/>
        </w:rPr>
        <w:br w:type="page"/>
      </w:r>
    </w:p>
    <w:p>
      <w:pPr>
        <w:spacing w:line="360" w:lineRule="auto"/>
        <w:outlineLvl w:val="2"/>
        <w:rPr>
          <w:rFonts w:ascii="宋体" w:hAnsi="宋体"/>
          <w:color w:val="000000"/>
          <w:sz w:val="24"/>
          <w:szCs w:val="20"/>
        </w:rPr>
      </w:pPr>
      <w:r>
        <w:rPr>
          <w:rFonts w:hint="eastAsia" w:ascii="宋体" w:hAnsi="宋体"/>
          <w:color w:val="000000"/>
          <w:sz w:val="24"/>
          <w:szCs w:val="20"/>
        </w:rPr>
        <w:t>9</w:t>
      </w:r>
      <w:r>
        <w:rPr>
          <w:rFonts w:ascii="宋体" w:hAnsi="宋体"/>
          <w:color w:val="000000"/>
          <w:sz w:val="24"/>
          <w:szCs w:val="20"/>
        </w:rPr>
        <w:t xml:space="preserve"> </w:t>
      </w:r>
      <w:r>
        <w:rPr>
          <w:rFonts w:hint="eastAsia" w:ascii="宋体" w:hAnsi="宋体"/>
          <w:color w:val="000000"/>
          <w:sz w:val="24"/>
          <w:szCs w:val="20"/>
        </w:rPr>
        <w:t>业绩一览表</w:t>
      </w:r>
    </w:p>
    <w:p>
      <w:pPr>
        <w:spacing w:line="360" w:lineRule="auto"/>
        <w:jc w:val="center"/>
        <w:rPr>
          <w:b/>
          <w:bCs/>
          <w:sz w:val="36"/>
          <w:szCs w:val="36"/>
        </w:rPr>
      </w:pPr>
      <w:r>
        <w:rPr>
          <w:rFonts w:hint="eastAsia"/>
          <w:b/>
          <w:bCs/>
          <w:sz w:val="36"/>
          <w:szCs w:val="36"/>
        </w:rPr>
        <w:t>业绩一览表</w:t>
      </w:r>
    </w:p>
    <w:p>
      <w:pPr>
        <w:tabs>
          <w:tab w:val="left" w:pos="1800"/>
          <w:tab w:val="left" w:pos="5580"/>
        </w:tabs>
        <w:spacing w:line="360" w:lineRule="auto"/>
        <w:ind w:firstLine="360" w:firstLineChars="150"/>
        <w:jc w:val="left"/>
        <w:rPr>
          <w:rFonts w:ascii="宋体" w:hAnsi="宋体"/>
          <w:color w:val="000000"/>
          <w:sz w:val="24"/>
        </w:rPr>
      </w:pPr>
      <w:r>
        <w:rPr>
          <w:rFonts w:ascii="宋体" w:hAnsi="宋体"/>
          <w:color w:val="000000"/>
          <w:sz w:val="24"/>
        </w:rPr>
        <w:t>项目编号/包号：_____________________     项目名称：_____________</w:t>
      </w:r>
    </w:p>
    <w:tbl>
      <w:tblPr>
        <w:tblStyle w:val="40"/>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1"/>
        <w:gridCol w:w="1260"/>
        <w:gridCol w:w="1260"/>
        <w:gridCol w:w="1440"/>
        <w:gridCol w:w="1778"/>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vAlign w:val="center"/>
          </w:tcPr>
          <w:p>
            <w:pPr>
              <w:spacing w:line="360" w:lineRule="auto"/>
              <w:rPr>
                <w:b/>
              </w:rPr>
            </w:pPr>
            <w:r>
              <w:rPr>
                <w:rFonts w:hint="eastAsia"/>
                <w:b/>
              </w:rPr>
              <w:t>序号</w:t>
            </w:r>
          </w:p>
        </w:tc>
        <w:tc>
          <w:tcPr>
            <w:tcW w:w="1411" w:type="dxa"/>
            <w:vAlign w:val="center"/>
          </w:tcPr>
          <w:p>
            <w:pPr>
              <w:spacing w:line="360" w:lineRule="auto"/>
              <w:rPr>
                <w:b/>
              </w:rPr>
            </w:pPr>
            <w:r>
              <w:rPr>
                <w:rFonts w:hint="eastAsia"/>
                <w:b/>
              </w:rPr>
              <w:t>项目名称</w:t>
            </w:r>
          </w:p>
        </w:tc>
        <w:tc>
          <w:tcPr>
            <w:tcW w:w="1260" w:type="dxa"/>
            <w:vAlign w:val="center"/>
          </w:tcPr>
          <w:p>
            <w:pPr>
              <w:spacing w:line="360" w:lineRule="auto"/>
              <w:rPr>
                <w:b/>
              </w:rPr>
            </w:pPr>
            <w:r>
              <w:rPr>
                <w:rFonts w:hint="eastAsia"/>
                <w:b/>
              </w:rPr>
              <w:t>用户名称</w:t>
            </w:r>
          </w:p>
        </w:tc>
        <w:tc>
          <w:tcPr>
            <w:tcW w:w="1260" w:type="dxa"/>
            <w:vAlign w:val="center"/>
          </w:tcPr>
          <w:p>
            <w:pPr>
              <w:spacing w:line="360" w:lineRule="auto"/>
              <w:rPr>
                <w:b/>
              </w:rPr>
            </w:pPr>
            <w:r>
              <w:rPr>
                <w:rFonts w:hint="eastAsia"/>
                <w:b/>
              </w:rPr>
              <w:t>合同金额</w:t>
            </w:r>
          </w:p>
        </w:tc>
        <w:tc>
          <w:tcPr>
            <w:tcW w:w="1440" w:type="dxa"/>
            <w:vAlign w:val="center"/>
          </w:tcPr>
          <w:p>
            <w:pPr>
              <w:spacing w:line="360" w:lineRule="auto"/>
              <w:rPr>
                <w:b/>
              </w:rPr>
            </w:pPr>
            <w:r>
              <w:rPr>
                <w:rFonts w:hint="eastAsia"/>
                <w:b/>
              </w:rPr>
              <w:t>用户联系人及联系方式</w:t>
            </w:r>
          </w:p>
        </w:tc>
        <w:tc>
          <w:tcPr>
            <w:tcW w:w="1778" w:type="dxa"/>
            <w:vAlign w:val="center"/>
          </w:tcPr>
          <w:p>
            <w:pPr>
              <w:spacing w:line="360" w:lineRule="auto"/>
              <w:rPr>
                <w:b/>
              </w:rPr>
            </w:pPr>
            <w:r>
              <w:rPr>
                <w:rFonts w:hint="eastAsia"/>
                <w:b/>
              </w:rPr>
              <w:t>合同签订日期</w:t>
            </w:r>
          </w:p>
        </w:tc>
        <w:tc>
          <w:tcPr>
            <w:tcW w:w="1038" w:type="dxa"/>
            <w:vAlign w:val="center"/>
          </w:tcPr>
          <w:p>
            <w:pPr>
              <w:spacing w:line="360" w:lineRule="auto"/>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vAlign w:val="center"/>
          </w:tcPr>
          <w:p>
            <w:pPr>
              <w:spacing w:line="360" w:lineRule="auto"/>
              <w:jc w:val="center"/>
            </w:pPr>
          </w:p>
        </w:tc>
        <w:tc>
          <w:tcPr>
            <w:tcW w:w="1411" w:type="dxa"/>
            <w:vAlign w:val="center"/>
          </w:tcPr>
          <w:p>
            <w:pPr>
              <w:spacing w:line="360" w:lineRule="auto"/>
            </w:pPr>
          </w:p>
        </w:tc>
        <w:tc>
          <w:tcPr>
            <w:tcW w:w="1260" w:type="dxa"/>
            <w:vAlign w:val="center"/>
          </w:tcPr>
          <w:p>
            <w:pPr>
              <w:spacing w:line="360" w:lineRule="auto"/>
            </w:pPr>
          </w:p>
        </w:tc>
        <w:tc>
          <w:tcPr>
            <w:tcW w:w="1260" w:type="dxa"/>
            <w:vAlign w:val="center"/>
          </w:tcPr>
          <w:p>
            <w:pPr>
              <w:spacing w:line="360" w:lineRule="auto"/>
            </w:pPr>
          </w:p>
        </w:tc>
        <w:tc>
          <w:tcPr>
            <w:tcW w:w="1440" w:type="dxa"/>
            <w:vAlign w:val="center"/>
          </w:tcPr>
          <w:p>
            <w:pPr>
              <w:spacing w:line="360" w:lineRule="auto"/>
            </w:pPr>
          </w:p>
        </w:tc>
        <w:tc>
          <w:tcPr>
            <w:tcW w:w="1778" w:type="dxa"/>
            <w:vAlign w:val="center"/>
          </w:tcPr>
          <w:p>
            <w:pPr>
              <w:spacing w:line="360" w:lineRule="auto"/>
            </w:pPr>
          </w:p>
        </w:tc>
        <w:tc>
          <w:tcPr>
            <w:tcW w:w="1038" w:type="dxa"/>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vAlign w:val="center"/>
          </w:tcPr>
          <w:p>
            <w:pPr>
              <w:spacing w:line="360" w:lineRule="auto"/>
              <w:jc w:val="center"/>
            </w:pPr>
          </w:p>
        </w:tc>
        <w:tc>
          <w:tcPr>
            <w:tcW w:w="1411" w:type="dxa"/>
            <w:vAlign w:val="center"/>
          </w:tcPr>
          <w:p>
            <w:pPr>
              <w:spacing w:line="360" w:lineRule="auto"/>
            </w:pPr>
          </w:p>
        </w:tc>
        <w:tc>
          <w:tcPr>
            <w:tcW w:w="1260" w:type="dxa"/>
            <w:vAlign w:val="center"/>
          </w:tcPr>
          <w:p>
            <w:pPr>
              <w:spacing w:line="360" w:lineRule="auto"/>
            </w:pPr>
          </w:p>
        </w:tc>
        <w:tc>
          <w:tcPr>
            <w:tcW w:w="1260" w:type="dxa"/>
            <w:vAlign w:val="center"/>
          </w:tcPr>
          <w:p>
            <w:pPr>
              <w:spacing w:line="360" w:lineRule="auto"/>
            </w:pPr>
          </w:p>
        </w:tc>
        <w:tc>
          <w:tcPr>
            <w:tcW w:w="1440" w:type="dxa"/>
            <w:vAlign w:val="center"/>
          </w:tcPr>
          <w:p>
            <w:pPr>
              <w:spacing w:line="360" w:lineRule="auto"/>
            </w:pPr>
          </w:p>
        </w:tc>
        <w:tc>
          <w:tcPr>
            <w:tcW w:w="1778" w:type="dxa"/>
            <w:vAlign w:val="center"/>
          </w:tcPr>
          <w:p>
            <w:pPr>
              <w:spacing w:line="360" w:lineRule="auto"/>
            </w:pPr>
          </w:p>
        </w:tc>
        <w:tc>
          <w:tcPr>
            <w:tcW w:w="1038" w:type="dxa"/>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vAlign w:val="center"/>
          </w:tcPr>
          <w:p>
            <w:pPr>
              <w:spacing w:line="360" w:lineRule="auto"/>
              <w:jc w:val="center"/>
            </w:pPr>
          </w:p>
        </w:tc>
        <w:tc>
          <w:tcPr>
            <w:tcW w:w="1411" w:type="dxa"/>
            <w:vAlign w:val="center"/>
          </w:tcPr>
          <w:p>
            <w:pPr>
              <w:spacing w:line="360" w:lineRule="auto"/>
            </w:pPr>
          </w:p>
        </w:tc>
        <w:tc>
          <w:tcPr>
            <w:tcW w:w="1260" w:type="dxa"/>
            <w:vAlign w:val="center"/>
          </w:tcPr>
          <w:p>
            <w:pPr>
              <w:spacing w:line="360" w:lineRule="auto"/>
            </w:pPr>
          </w:p>
        </w:tc>
        <w:tc>
          <w:tcPr>
            <w:tcW w:w="1260" w:type="dxa"/>
            <w:vAlign w:val="center"/>
          </w:tcPr>
          <w:p>
            <w:pPr>
              <w:spacing w:line="360" w:lineRule="auto"/>
            </w:pPr>
          </w:p>
        </w:tc>
        <w:tc>
          <w:tcPr>
            <w:tcW w:w="1440" w:type="dxa"/>
            <w:vAlign w:val="center"/>
          </w:tcPr>
          <w:p>
            <w:pPr>
              <w:spacing w:line="360" w:lineRule="auto"/>
            </w:pPr>
          </w:p>
        </w:tc>
        <w:tc>
          <w:tcPr>
            <w:tcW w:w="1778" w:type="dxa"/>
            <w:vAlign w:val="center"/>
          </w:tcPr>
          <w:p>
            <w:pPr>
              <w:spacing w:line="360" w:lineRule="auto"/>
            </w:pPr>
          </w:p>
        </w:tc>
        <w:tc>
          <w:tcPr>
            <w:tcW w:w="1038" w:type="dxa"/>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spacing w:line="360" w:lineRule="auto"/>
              <w:jc w:val="center"/>
            </w:pPr>
          </w:p>
        </w:tc>
        <w:tc>
          <w:tcPr>
            <w:tcW w:w="1411" w:type="dxa"/>
            <w:vAlign w:val="center"/>
          </w:tcPr>
          <w:p>
            <w:pPr>
              <w:spacing w:line="360" w:lineRule="auto"/>
            </w:pPr>
          </w:p>
        </w:tc>
        <w:tc>
          <w:tcPr>
            <w:tcW w:w="1260" w:type="dxa"/>
            <w:vAlign w:val="center"/>
          </w:tcPr>
          <w:p>
            <w:pPr>
              <w:spacing w:line="360" w:lineRule="auto"/>
            </w:pPr>
          </w:p>
        </w:tc>
        <w:tc>
          <w:tcPr>
            <w:tcW w:w="1260" w:type="dxa"/>
            <w:vAlign w:val="center"/>
          </w:tcPr>
          <w:p>
            <w:pPr>
              <w:spacing w:line="360" w:lineRule="auto"/>
            </w:pPr>
          </w:p>
        </w:tc>
        <w:tc>
          <w:tcPr>
            <w:tcW w:w="1440" w:type="dxa"/>
            <w:vAlign w:val="center"/>
          </w:tcPr>
          <w:p>
            <w:pPr>
              <w:spacing w:line="360" w:lineRule="auto"/>
            </w:pPr>
          </w:p>
        </w:tc>
        <w:tc>
          <w:tcPr>
            <w:tcW w:w="1778" w:type="dxa"/>
            <w:vAlign w:val="center"/>
          </w:tcPr>
          <w:p>
            <w:pPr>
              <w:spacing w:line="360" w:lineRule="auto"/>
            </w:pPr>
          </w:p>
        </w:tc>
        <w:tc>
          <w:tcPr>
            <w:tcW w:w="1038" w:type="dxa"/>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spacing w:line="360" w:lineRule="auto"/>
              <w:jc w:val="center"/>
            </w:pPr>
          </w:p>
        </w:tc>
        <w:tc>
          <w:tcPr>
            <w:tcW w:w="1411" w:type="dxa"/>
            <w:vAlign w:val="center"/>
          </w:tcPr>
          <w:p>
            <w:pPr>
              <w:spacing w:line="360" w:lineRule="auto"/>
            </w:pPr>
          </w:p>
        </w:tc>
        <w:tc>
          <w:tcPr>
            <w:tcW w:w="1260" w:type="dxa"/>
            <w:vAlign w:val="center"/>
          </w:tcPr>
          <w:p>
            <w:pPr>
              <w:spacing w:line="360" w:lineRule="auto"/>
            </w:pPr>
          </w:p>
        </w:tc>
        <w:tc>
          <w:tcPr>
            <w:tcW w:w="1260" w:type="dxa"/>
            <w:vAlign w:val="center"/>
          </w:tcPr>
          <w:p>
            <w:pPr>
              <w:spacing w:line="360" w:lineRule="auto"/>
            </w:pPr>
          </w:p>
        </w:tc>
        <w:tc>
          <w:tcPr>
            <w:tcW w:w="1440" w:type="dxa"/>
            <w:vAlign w:val="center"/>
          </w:tcPr>
          <w:p>
            <w:pPr>
              <w:spacing w:line="360" w:lineRule="auto"/>
            </w:pPr>
          </w:p>
        </w:tc>
        <w:tc>
          <w:tcPr>
            <w:tcW w:w="1778" w:type="dxa"/>
            <w:vAlign w:val="center"/>
          </w:tcPr>
          <w:p>
            <w:pPr>
              <w:spacing w:line="360" w:lineRule="auto"/>
            </w:pPr>
          </w:p>
        </w:tc>
        <w:tc>
          <w:tcPr>
            <w:tcW w:w="1038" w:type="dxa"/>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spacing w:line="360" w:lineRule="auto"/>
            </w:pPr>
          </w:p>
        </w:tc>
        <w:tc>
          <w:tcPr>
            <w:tcW w:w="1411" w:type="dxa"/>
            <w:vAlign w:val="center"/>
          </w:tcPr>
          <w:p>
            <w:pPr>
              <w:spacing w:line="360" w:lineRule="auto"/>
            </w:pPr>
          </w:p>
        </w:tc>
        <w:tc>
          <w:tcPr>
            <w:tcW w:w="1260" w:type="dxa"/>
            <w:vAlign w:val="center"/>
          </w:tcPr>
          <w:p>
            <w:pPr>
              <w:spacing w:line="360" w:lineRule="auto"/>
            </w:pPr>
          </w:p>
        </w:tc>
        <w:tc>
          <w:tcPr>
            <w:tcW w:w="1260" w:type="dxa"/>
            <w:vAlign w:val="center"/>
          </w:tcPr>
          <w:p>
            <w:pPr>
              <w:spacing w:line="360" w:lineRule="auto"/>
            </w:pPr>
          </w:p>
        </w:tc>
        <w:tc>
          <w:tcPr>
            <w:tcW w:w="1440" w:type="dxa"/>
            <w:vAlign w:val="center"/>
          </w:tcPr>
          <w:p>
            <w:pPr>
              <w:spacing w:line="360" w:lineRule="auto"/>
            </w:pPr>
          </w:p>
        </w:tc>
        <w:tc>
          <w:tcPr>
            <w:tcW w:w="1778" w:type="dxa"/>
            <w:vAlign w:val="center"/>
          </w:tcPr>
          <w:p>
            <w:pPr>
              <w:spacing w:line="360" w:lineRule="auto"/>
            </w:pPr>
          </w:p>
        </w:tc>
        <w:tc>
          <w:tcPr>
            <w:tcW w:w="1038" w:type="dxa"/>
            <w:vAlign w:val="center"/>
          </w:tcPr>
          <w:p>
            <w:pPr>
              <w:spacing w:line="360" w:lineRule="auto"/>
            </w:pPr>
          </w:p>
        </w:tc>
      </w:tr>
    </w:tbl>
    <w:p>
      <w:pPr>
        <w:pStyle w:val="23"/>
        <w:tabs>
          <w:tab w:val="left" w:pos="5580"/>
        </w:tabs>
        <w:spacing w:before="120" w:line="360" w:lineRule="auto"/>
        <w:rPr>
          <w:rFonts w:hint="default" w:hAnsi="宋体"/>
          <w:bCs/>
          <w:sz w:val="24"/>
          <w:u w:val="single"/>
        </w:rPr>
      </w:pPr>
      <w:r>
        <w:rPr>
          <w:rFonts w:hAnsi="宋体"/>
          <w:bCs/>
          <w:kern w:val="0"/>
          <w:sz w:val="24"/>
        </w:rPr>
        <w:t>注：</w:t>
      </w:r>
      <w:r>
        <w:rPr>
          <w:rFonts w:hAnsi="宋体"/>
          <w:bCs/>
          <w:sz w:val="24"/>
        </w:rPr>
        <w:t>需附合同复印件，评委保留对上述资料原件审核的权力。</w:t>
      </w:r>
    </w:p>
    <w:p>
      <w:pPr>
        <w:autoSpaceDE w:val="0"/>
        <w:autoSpaceDN w:val="0"/>
        <w:adjustRightInd w:val="0"/>
        <w:snapToGrid w:val="0"/>
        <w:spacing w:before="25" w:after="25" w:line="360" w:lineRule="auto"/>
        <w:rPr>
          <w:rFonts w:ascii="宋体" w:hAnsi="宋体"/>
          <w:color w:val="000000"/>
          <w:sz w:val="24"/>
        </w:rPr>
      </w:pPr>
    </w:p>
    <w:p>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：____________</w:t>
      </w:r>
    </w:p>
    <w:p>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pPr>
        <w:widowControl/>
        <w:jc w:val="left"/>
        <w:rPr>
          <w:rFonts w:ascii="宋体" w:hAnsi="宋体"/>
          <w:color w:val="000000"/>
          <w:sz w:val="24"/>
          <w:szCs w:val="20"/>
        </w:rPr>
      </w:pPr>
      <w:r>
        <w:rPr>
          <w:rFonts w:ascii="宋体" w:hAnsi="宋体"/>
          <w:color w:val="000000"/>
          <w:sz w:val="24"/>
          <w:szCs w:val="20"/>
        </w:rPr>
        <w:br w:type="page"/>
      </w:r>
    </w:p>
    <w:p>
      <w:pPr>
        <w:spacing w:line="360" w:lineRule="auto"/>
        <w:outlineLvl w:val="2"/>
        <w:rPr>
          <w:rFonts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0</w:t>
      </w:r>
      <w:r>
        <w:rPr>
          <w:rFonts w:ascii="宋体" w:hAnsi="宋体"/>
          <w:color w:val="000000"/>
          <w:sz w:val="24"/>
          <w:szCs w:val="20"/>
        </w:rPr>
        <w:t xml:space="preserve">  </w:t>
      </w:r>
      <w:r>
        <w:rPr>
          <w:rFonts w:hint="eastAsia" w:ascii="宋体" w:hAnsi="宋体"/>
          <w:color w:val="000000"/>
          <w:sz w:val="24"/>
          <w:szCs w:val="20"/>
        </w:rPr>
        <w:t>比选文件</w:t>
      </w:r>
      <w:r>
        <w:rPr>
          <w:rFonts w:ascii="宋体" w:hAnsi="宋体"/>
          <w:color w:val="000000"/>
          <w:sz w:val="24"/>
          <w:szCs w:val="20"/>
        </w:rPr>
        <w:t>要求提供或</w:t>
      </w:r>
      <w:r>
        <w:rPr>
          <w:rFonts w:hint="eastAsia" w:ascii="宋体" w:hAnsi="宋体"/>
          <w:color w:val="000000"/>
          <w:sz w:val="24"/>
          <w:szCs w:val="20"/>
        </w:rPr>
        <w:t>供应商</w:t>
      </w:r>
      <w:r>
        <w:rPr>
          <w:rFonts w:ascii="宋体" w:hAnsi="宋体"/>
          <w:color w:val="000000"/>
          <w:sz w:val="24"/>
          <w:szCs w:val="20"/>
        </w:rPr>
        <w:t>认为应附的其他材料</w:t>
      </w:r>
    </w:p>
    <w:p>
      <w:pPr>
        <w:tabs>
          <w:tab w:val="left" w:pos="360"/>
        </w:tabs>
        <w:snapToGrid w:val="0"/>
        <w:spacing w:line="360" w:lineRule="auto"/>
        <w:outlineLvl w:val="1"/>
        <w:rPr>
          <w:sz w:val="24"/>
        </w:rPr>
      </w:pPr>
      <w:r>
        <w:rPr>
          <w:rFonts w:hint="eastAsia"/>
          <w:sz w:val="24"/>
        </w:rPr>
        <w:t>10.1</w:t>
      </w:r>
      <w:r>
        <w:rPr>
          <w:sz w:val="24"/>
        </w:rPr>
        <w:t>供应商基本情况表</w:t>
      </w:r>
    </w:p>
    <w:tbl>
      <w:tblPr>
        <w:tblStyle w:val="40"/>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1" w:type="dxa"/>
            <w:vAlign w:val="center"/>
          </w:tcPr>
          <w:p>
            <w:pPr>
              <w:spacing w:line="360" w:lineRule="auto"/>
              <w:ind w:right="-197" w:rightChars="-94"/>
              <w:jc w:val="center"/>
              <w:rPr>
                <w:szCs w:val="21"/>
              </w:rPr>
            </w:pPr>
            <w:r>
              <w:rPr>
                <w:szCs w:val="21"/>
                <w:lang w:val="zh-CN"/>
              </w:rPr>
              <w:t>单位名称</w:t>
            </w:r>
          </w:p>
        </w:tc>
        <w:tc>
          <w:tcPr>
            <w:tcW w:w="6071" w:type="dxa"/>
            <w:gridSpan w:val="3"/>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lang w:val="zh-CN"/>
              </w:rPr>
            </w:pPr>
            <w:r>
              <w:rPr>
                <w:szCs w:val="21"/>
                <w:lang w:val="zh-CN"/>
              </w:rPr>
              <w:t>法定代表人</w:t>
            </w:r>
          </w:p>
        </w:tc>
        <w:tc>
          <w:tcPr>
            <w:tcW w:w="2019" w:type="dxa"/>
            <w:vAlign w:val="center"/>
          </w:tcPr>
          <w:p>
            <w:pPr>
              <w:spacing w:line="360" w:lineRule="auto"/>
              <w:ind w:right="-197" w:rightChars="-94"/>
              <w:jc w:val="center"/>
              <w:rPr>
                <w:szCs w:val="21"/>
              </w:rPr>
            </w:pPr>
          </w:p>
        </w:tc>
        <w:tc>
          <w:tcPr>
            <w:tcW w:w="2032" w:type="dxa"/>
            <w:vAlign w:val="center"/>
          </w:tcPr>
          <w:p>
            <w:pPr>
              <w:spacing w:line="360" w:lineRule="auto"/>
              <w:ind w:right="-197" w:rightChars="-94"/>
              <w:jc w:val="center"/>
              <w:rPr>
                <w:szCs w:val="21"/>
                <w:lang w:val="zh-CN"/>
              </w:rPr>
            </w:pPr>
            <w:r>
              <w:rPr>
                <w:szCs w:val="21"/>
                <w:lang w:val="zh-CN"/>
              </w:rPr>
              <w:t>注册资金</w:t>
            </w:r>
          </w:p>
        </w:tc>
        <w:tc>
          <w:tcPr>
            <w:tcW w:w="2020" w:type="dxa"/>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rPr>
            </w:pPr>
            <w:r>
              <w:rPr>
                <w:szCs w:val="21"/>
                <w:lang w:val="zh-CN"/>
              </w:rPr>
              <w:t>单位性质</w:t>
            </w:r>
          </w:p>
        </w:tc>
        <w:tc>
          <w:tcPr>
            <w:tcW w:w="2019" w:type="dxa"/>
            <w:vAlign w:val="center"/>
          </w:tcPr>
          <w:p>
            <w:pPr>
              <w:spacing w:line="360" w:lineRule="auto"/>
              <w:ind w:right="-197" w:rightChars="-94"/>
              <w:jc w:val="center"/>
              <w:rPr>
                <w:szCs w:val="21"/>
              </w:rPr>
            </w:pPr>
          </w:p>
        </w:tc>
        <w:tc>
          <w:tcPr>
            <w:tcW w:w="2032" w:type="dxa"/>
            <w:vAlign w:val="center"/>
          </w:tcPr>
          <w:p>
            <w:pPr>
              <w:spacing w:line="360" w:lineRule="auto"/>
              <w:ind w:right="-197" w:rightChars="-94"/>
              <w:jc w:val="center"/>
              <w:rPr>
                <w:szCs w:val="21"/>
              </w:rPr>
            </w:pPr>
            <w:r>
              <w:rPr>
                <w:szCs w:val="21"/>
                <w:lang w:val="zh-CN"/>
              </w:rPr>
              <w:t>成立时间</w:t>
            </w:r>
          </w:p>
        </w:tc>
        <w:tc>
          <w:tcPr>
            <w:tcW w:w="2020" w:type="dxa"/>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rPr>
            </w:pPr>
            <w:r>
              <w:rPr>
                <w:szCs w:val="21"/>
                <w:lang w:val="zh-CN"/>
              </w:rPr>
              <w:t>单位地址</w:t>
            </w:r>
          </w:p>
        </w:tc>
        <w:tc>
          <w:tcPr>
            <w:tcW w:w="6071" w:type="dxa"/>
            <w:gridSpan w:val="3"/>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pPr>
              <w:spacing w:line="360" w:lineRule="auto"/>
              <w:ind w:right="-197" w:rightChars="-94"/>
              <w:jc w:val="center"/>
              <w:rPr>
                <w:szCs w:val="21"/>
              </w:rPr>
            </w:pPr>
            <w:r>
              <w:rPr>
                <w:szCs w:val="21"/>
                <w:lang w:val="zh-CN"/>
              </w:rPr>
              <w:t>经营范围</w:t>
            </w:r>
          </w:p>
        </w:tc>
        <w:tc>
          <w:tcPr>
            <w:tcW w:w="6071" w:type="dxa"/>
            <w:gridSpan w:val="3"/>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rPr>
            </w:pPr>
            <w:r>
              <w:rPr>
                <w:szCs w:val="21"/>
                <w:lang w:val="zh-CN"/>
              </w:rPr>
              <w:t>开户银行</w:t>
            </w:r>
          </w:p>
        </w:tc>
        <w:tc>
          <w:tcPr>
            <w:tcW w:w="2019" w:type="dxa"/>
            <w:vAlign w:val="center"/>
          </w:tcPr>
          <w:p>
            <w:pPr>
              <w:spacing w:line="360" w:lineRule="auto"/>
              <w:ind w:right="-197" w:rightChars="-94"/>
              <w:jc w:val="center"/>
              <w:rPr>
                <w:szCs w:val="21"/>
              </w:rPr>
            </w:pPr>
          </w:p>
        </w:tc>
        <w:tc>
          <w:tcPr>
            <w:tcW w:w="2032" w:type="dxa"/>
            <w:vAlign w:val="center"/>
          </w:tcPr>
          <w:p>
            <w:pPr>
              <w:spacing w:line="360" w:lineRule="auto"/>
              <w:ind w:right="-197" w:rightChars="-94"/>
              <w:jc w:val="center"/>
              <w:rPr>
                <w:szCs w:val="21"/>
              </w:rPr>
            </w:pPr>
            <w:r>
              <w:rPr>
                <w:szCs w:val="21"/>
              </w:rPr>
              <w:t>银行账户</w:t>
            </w:r>
          </w:p>
        </w:tc>
        <w:tc>
          <w:tcPr>
            <w:tcW w:w="2020" w:type="dxa"/>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rPr>
            </w:pPr>
            <w:r>
              <w:rPr>
                <w:szCs w:val="21"/>
                <w:lang w:val="zh-CN"/>
              </w:rPr>
              <w:t>联系人</w:t>
            </w:r>
          </w:p>
        </w:tc>
        <w:tc>
          <w:tcPr>
            <w:tcW w:w="2019" w:type="dxa"/>
            <w:vAlign w:val="center"/>
          </w:tcPr>
          <w:p>
            <w:pPr>
              <w:spacing w:line="360" w:lineRule="auto"/>
              <w:ind w:right="-197" w:rightChars="-94"/>
              <w:jc w:val="center"/>
              <w:rPr>
                <w:szCs w:val="21"/>
              </w:rPr>
            </w:pPr>
          </w:p>
        </w:tc>
        <w:tc>
          <w:tcPr>
            <w:tcW w:w="2032" w:type="dxa"/>
            <w:vAlign w:val="center"/>
          </w:tcPr>
          <w:p>
            <w:pPr>
              <w:spacing w:line="360" w:lineRule="auto"/>
              <w:ind w:right="-197" w:rightChars="-94"/>
              <w:jc w:val="center"/>
              <w:rPr>
                <w:szCs w:val="21"/>
              </w:rPr>
            </w:pPr>
            <w:r>
              <w:rPr>
                <w:szCs w:val="21"/>
                <w:lang w:val="zh-CN"/>
              </w:rPr>
              <w:t>联系电话</w:t>
            </w:r>
          </w:p>
        </w:tc>
        <w:tc>
          <w:tcPr>
            <w:tcW w:w="2020" w:type="dxa"/>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pPr>
              <w:spacing w:line="360" w:lineRule="auto"/>
              <w:ind w:right="-197" w:rightChars="-94"/>
              <w:jc w:val="center"/>
              <w:rPr>
                <w:szCs w:val="21"/>
              </w:rPr>
            </w:pPr>
            <w:r>
              <w:rPr>
                <w:szCs w:val="21"/>
                <w:lang w:val="zh-CN"/>
              </w:rPr>
              <w:t>基本情况</w:t>
            </w:r>
          </w:p>
        </w:tc>
        <w:tc>
          <w:tcPr>
            <w:tcW w:w="6071" w:type="dxa"/>
            <w:gridSpan w:val="3"/>
            <w:vAlign w:val="center"/>
          </w:tcPr>
          <w:p>
            <w:pPr>
              <w:spacing w:line="360" w:lineRule="auto"/>
              <w:ind w:right="-197" w:rightChars="-94"/>
              <w:jc w:val="center"/>
              <w:rPr>
                <w:szCs w:val="21"/>
              </w:rPr>
            </w:pPr>
          </w:p>
        </w:tc>
      </w:tr>
    </w:tbl>
    <w:p>
      <w:pPr>
        <w:spacing w:line="360" w:lineRule="auto"/>
        <w:ind w:right="-57" w:rightChars="-27"/>
        <w:jc w:val="left"/>
        <w:rPr>
          <w:szCs w:val="21"/>
          <w:lang w:val="zh-CN"/>
        </w:rPr>
      </w:pPr>
    </w:p>
    <w:p>
      <w:pPr>
        <w:widowControl/>
        <w:jc w:val="left"/>
        <w:rPr>
          <w:szCs w:val="21"/>
        </w:rPr>
      </w:pPr>
      <w:r>
        <w:rPr>
          <w:szCs w:val="21"/>
        </w:rPr>
        <w:br w:type="page"/>
      </w:r>
    </w:p>
    <w:p>
      <w:pPr>
        <w:pStyle w:val="7"/>
        <w:spacing w:line="480" w:lineRule="exact"/>
        <w:ind w:left="899" w:hanging="899"/>
        <w:jc w:val="both"/>
        <w:rPr>
          <w:b w:val="0"/>
          <w:bCs/>
          <w:u w:val="none"/>
        </w:rPr>
      </w:pPr>
      <w:bookmarkStart w:id="791" w:name="_Toc482104386"/>
      <w:r>
        <w:rPr>
          <w:rFonts w:hint="eastAsia" w:ascii="Times New Roman"/>
          <w:b w:val="0"/>
          <w:bCs/>
          <w:u w:val="none"/>
        </w:rPr>
        <w:t xml:space="preserve">10.2 </w:t>
      </w:r>
      <w:bookmarkStart w:id="792" w:name="_Toc493975502"/>
      <w:bookmarkStart w:id="793" w:name="_Toc358538376"/>
      <w:r>
        <w:rPr>
          <w:b w:val="0"/>
          <w:bCs/>
          <w:u w:val="none"/>
        </w:rPr>
        <w:t>拟派项目</w:t>
      </w:r>
      <w:r>
        <w:rPr>
          <w:rFonts w:hint="eastAsia"/>
          <w:b w:val="0"/>
          <w:bCs/>
          <w:u w:val="none"/>
        </w:rPr>
        <w:t>经理</w:t>
      </w:r>
      <w:r>
        <w:rPr>
          <w:b w:val="0"/>
          <w:bCs/>
          <w:u w:val="none"/>
        </w:rPr>
        <w:t>资格声明</w:t>
      </w:r>
      <w:bookmarkEnd w:id="792"/>
      <w:bookmarkEnd w:id="793"/>
    </w:p>
    <w:p>
      <w:pPr>
        <w:spacing w:line="360" w:lineRule="auto"/>
        <w:rPr>
          <w:rFonts w:ascii="宋体" w:hAnsi="宋体"/>
          <w:sz w:val="24"/>
        </w:rPr>
      </w:pPr>
      <w:r>
        <w:rPr>
          <w:rFonts w:hint="eastAsia" w:ascii="宋体" w:hAnsi="宋体"/>
          <w:sz w:val="24"/>
        </w:rPr>
        <w:t>项目名称：</w:t>
      </w:r>
    </w:p>
    <w:p>
      <w:pPr>
        <w:spacing w:line="360" w:lineRule="auto"/>
        <w:rPr>
          <w:rFonts w:ascii="宋体" w:hAnsi="宋体"/>
          <w:sz w:val="24"/>
        </w:rPr>
      </w:pPr>
      <w:r>
        <w:rPr>
          <w:rFonts w:hint="eastAsia" w:ascii="宋体" w:hAnsi="宋体"/>
          <w:sz w:val="24"/>
        </w:rPr>
        <w:t>项目编号：</w:t>
      </w:r>
    </w:p>
    <w:p>
      <w:pPr>
        <w:spacing w:line="360" w:lineRule="auto"/>
        <w:rPr>
          <w:rFonts w:ascii="宋体" w:hAnsi="宋体"/>
          <w:sz w:val="24"/>
        </w:rPr>
      </w:pPr>
      <w:r>
        <w:rPr>
          <w:rFonts w:hint="eastAsia" w:ascii="宋体" w:hAnsi="宋体"/>
          <w:sz w:val="24"/>
        </w:rPr>
        <w:t>供应商名称：</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3042"/>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spacing w:line="360" w:lineRule="auto"/>
              <w:rPr>
                <w:rFonts w:ascii="宋体" w:hAnsi="宋体"/>
                <w:sz w:val="24"/>
              </w:rPr>
            </w:pPr>
            <w:r>
              <w:rPr>
                <w:rFonts w:hint="eastAsia" w:ascii="宋体" w:hAnsi="宋体"/>
                <w:sz w:val="24"/>
              </w:rPr>
              <w:t>姓名</w:t>
            </w:r>
          </w:p>
        </w:tc>
        <w:tc>
          <w:tcPr>
            <w:tcW w:w="3042" w:type="dxa"/>
            <w:vAlign w:val="center"/>
          </w:tcPr>
          <w:p>
            <w:pPr>
              <w:spacing w:line="360" w:lineRule="auto"/>
              <w:rPr>
                <w:rFonts w:ascii="宋体" w:hAnsi="宋体"/>
                <w:sz w:val="24"/>
              </w:rPr>
            </w:pPr>
          </w:p>
        </w:tc>
        <w:tc>
          <w:tcPr>
            <w:tcW w:w="3079" w:type="dxa"/>
            <w:vAlign w:val="center"/>
          </w:tcPr>
          <w:p>
            <w:pPr>
              <w:spacing w:line="360" w:lineRule="auto"/>
              <w:jc w:val="center"/>
              <w:rPr>
                <w:rFonts w:ascii="宋体" w:hAnsi="宋体"/>
                <w:sz w:val="24"/>
              </w:rPr>
            </w:pPr>
            <w:r>
              <w:rPr>
                <w:rFonts w:hint="eastAsia" w:ascii="宋体" w:hAnsi="宋体"/>
                <w:sz w:val="24"/>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spacing w:line="360" w:lineRule="auto"/>
              <w:rPr>
                <w:rFonts w:ascii="宋体" w:hAnsi="宋体"/>
                <w:sz w:val="24"/>
              </w:rPr>
            </w:pPr>
            <w:r>
              <w:rPr>
                <w:rFonts w:hint="eastAsia" w:ascii="宋体" w:hAnsi="宋体"/>
                <w:sz w:val="24"/>
              </w:rPr>
              <w:t>性别</w:t>
            </w:r>
          </w:p>
        </w:tc>
        <w:tc>
          <w:tcPr>
            <w:tcW w:w="3042" w:type="dxa"/>
            <w:vAlign w:val="center"/>
          </w:tcPr>
          <w:p>
            <w:pPr>
              <w:spacing w:line="360" w:lineRule="auto"/>
              <w:rPr>
                <w:rFonts w:ascii="宋体" w:hAnsi="宋体"/>
                <w:sz w:val="24"/>
              </w:rPr>
            </w:pPr>
          </w:p>
        </w:tc>
        <w:tc>
          <w:tcPr>
            <w:tcW w:w="3079" w:type="dxa"/>
            <w:vMerge w:val="restart"/>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spacing w:line="360" w:lineRule="auto"/>
              <w:rPr>
                <w:rFonts w:ascii="宋体" w:hAnsi="宋体"/>
                <w:sz w:val="24"/>
              </w:rPr>
            </w:pPr>
            <w:r>
              <w:rPr>
                <w:rFonts w:hint="eastAsia" w:ascii="宋体" w:hAnsi="宋体"/>
                <w:sz w:val="24"/>
              </w:rPr>
              <w:t>年龄</w:t>
            </w:r>
          </w:p>
        </w:tc>
        <w:tc>
          <w:tcPr>
            <w:tcW w:w="3042" w:type="dxa"/>
            <w:vAlign w:val="center"/>
          </w:tcPr>
          <w:p>
            <w:pPr>
              <w:spacing w:line="360" w:lineRule="auto"/>
              <w:rPr>
                <w:rFonts w:ascii="宋体" w:hAnsi="宋体"/>
                <w:sz w:val="24"/>
              </w:rPr>
            </w:pPr>
          </w:p>
        </w:tc>
        <w:tc>
          <w:tcPr>
            <w:tcW w:w="3079"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spacing w:line="360" w:lineRule="auto"/>
              <w:rPr>
                <w:rFonts w:ascii="宋体" w:hAnsi="宋体"/>
                <w:sz w:val="24"/>
              </w:rPr>
            </w:pPr>
            <w:r>
              <w:rPr>
                <w:rFonts w:hint="eastAsia" w:ascii="宋体" w:hAnsi="宋体"/>
                <w:sz w:val="24"/>
              </w:rPr>
              <w:t>专业</w:t>
            </w:r>
          </w:p>
        </w:tc>
        <w:tc>
          <w:tcPr>
            <w:tcW w:w="3042" w:type="dxa"/>
            <w:vAlign w:val="center"/>
          </w:tcPr>
          <w:p>
            <w:pPr>
              <w:spacing w:line="360" w:lineRule="auto"/>
              <w:rPr>
                <w:rFonts w:ascii="宋体" w:hAnsi="宋体"/>
                <w:sz w:val="24"/>
              </w:rPr>
            </w:pPr>
          </w:p>
        </w:tc>
        <w:tc>
          <w:tcPr>
            <w:tcW w:w="3079"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spacing w:line="360" w:lineRule="auto"/>
              <w:rPr>
                <w:rFonts w:ascii="宋体" w:hAnsi="宋体"/>
                <w:sz w:val="24"/>
              </w:rPr>
            </w:pPr>
            <w:r>
              <w:rPr>
                <w:rFonts w:hint="eastAsia" w:ascii="宋体" w:hAnsi="宋体"/>
                <w:sz w:val="24"/>
              </w:rPr>
              <w:t>学历</w:t>
            </w:r>
          </w:p>
        </w:tc>
        <w:tc>
          <w:tcPr>
            <w:tcW w:w="3042" w:type="dxa"/>
            <w:vAlign w:val="center"/>
          </w:tcPr>
          <w:p>
            <w:pPr>
              <w:spacing w:line="360" w:lineRule="auto"/>
              <w:rPr>
                <w:rFonts w:ascii="宋体" w:hAnsi="宋体"/>
                <w:sz w:val="24"/>
              </w:rPr>
            </w:pPr>
          </w:p>
        </w:tc>
        <w:tc>
          <w:tcPr>
            <w:tcW w:w="3079"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spacing w:line="360" w:lineRule="auto"/>
              <w:rPr>
                <w:rFonts w:ascii="宋体" w:hAnsi="宋体"/>
                <w:sz w:val="24"/>
              </w:rPr>
            </w:pPr>
            <w:r>
              <w:rPr>
                <w:rFonts w:hint="eastAsia" w:ascii="宋体" w:hAnsi="宋体"/>
                <w:sz w:val="24"/>
              </w:rPr>
              <w:t>工龄</w:t>
            </w:r>
          </w:p>
        </w:tc>
        <w:tc>
          <w:tcPr>
            <w:tcW w:w="3042" w:type="dxa"/>
            <w:vAlign w:val="center"/>
          </w:tcPr>
          <w:p>
            <w:pPr>
              <w:spacing w:line="360" w:lineRule="auto"/>
              <w:rPr>
                <w:rFonts w:ascii="宋体" w:hAnsi="宋体"/>
                <w:sz w:val="24"/>
              </w:rPr>
            </w:pPr>
          </w:p>
        </w:tc>
        <w:tc>
          <w:tcPr>
            <w:tcW w:w="3079"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spacing w:line="360" w:lineRule="auto"/>
              <w:rPr>
                <w:rFonts w:ascii="宋体" w:hAnsi="宋体"/>
                <w:sz w:val="24"/>
              </w:rPr>
            </w:pPr>
            <w:r>
              <w:rPr>
                <w:rFonts w:hint="eastAsia" w:ascii="宋体" w:hAnsi="宋体"/>
                <w:sz w:val="24"/>
              </w:rPr>
              <w:t>职务</w:t>
            </w:r>
          </w:p>
        </w:tc>
        <w:tc>
          <w:tcPr>
            <w:tcW w:w="3042" w:type="dxa"/>
            <w:vAlign w:val="center"/>
          </w:tcPr>
          <w:p>
            <w:pPr>
              <w:spacing w:line="360" w:lineRule="auto"/>
              <w:rPr>
                <w:rFonts w:ascii="宋体" w:hAnsi="宋体"/>
                <w:sz w:val="24"/>
              </w:rPr>
            </w:pPr>
          </w:p>
        </w:tc>
        <w:tc>
          <w:tcPr>
            <w:tcW w:w="3079"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spacing w:line="360" w:lineRule="auto"/>
              <w:rPr>
                <w:rFonts w:ascii="宋体" w:hAnsi="宋体"/>
                <w:sz w:val="24"/>
              </w:rPr>
            </w:pPr>
            <w:r>
              <w:rPr>
                <w:rFonts w:hint="eastAsia" w:ascii="宋体" w:hAnsi="宋体"/>
                <w:sz w:val="24"/>
              </w:rPr>
              <w:t>从事本岗位工作时间</w:t>
            </w:r>
          </w:p>
        </w:tc>
        <w:tc>
          <w:tcPr>
            <w:tcW w:w="3042" w:type="dxa"/>
            <w:vAlign w:val="center"/>
          </w:tcPr>
          <w:p>
            <w:pPr>
              <w:spacing w:line="360" w:lineRule="auto"/>
              <w:rPr>
                <w:rFonts w:ascii="宋体" w:hAnsi="宋体"/>
                <w:sz w:val="24"/>
              </w:rPr>
            </w:pPr>
          </w:p>
        </w:tc>
        <w:tc>
          <w:tcPr>
            <w:tcW w:w="3079"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spacing w:line="360" w:lineRule="auto"/>
              <w:rPr>
                <w:rFonts w:ascii="宋体" w:hAnsi="宋体"/>
                <w:sz w:val="24"/>
              </w:rPr>
            </w:pPr>
            <w:r>
              <w:rPr>
                <w:rFonts w:hint="eastAsia" w:ascii="宋体" w:hAnsi="宋体"/>
                <w:sz w:val="24"/>
              </w:rPr>
              <w:t>联系电话</w:t>
            </w:r>
          </w:p>
        </w:tc>
        <w:tc>
          <w:tcPr>
            <w:tcW w:w="3042" w:type="dxa"/>
            <w:vAlign w:val="center"/>
          </w:tcPr>
          <w:p>
            <w:pPr>
              <w:spacing w:line="360" w:lineRule="auto"/>
              <w:rPr>
                <w:rFonts w:ascii="宋体" w:hAnsi="宋体"/>
                <w:sz w:val="24"/>
              </w:rPr>
            </w:pPr>
          </w:p>
        </w:tc>
        <w:tc>
          <w:tcPr>
            <w:tcW w:w="3079" w:type="dxa"/>
            <w:vMerge w:val="continue"/>
            <w:vAlign w:val="center"/>
          </w:tcPr>
          <w:p>
            <w:pPr>
              <w:spacing w:line="360" w:lineRule="auto"/>
              <w:rPr>
                <w:rFonts w:ascii="宋体" w:hAnsi="宋体"/>
                <w:sz w:val="24"/>
              </w:rPr>
            </w:pPr>
          </w:p>
        </w:tc>
      </w:tr>
    </w:tbl>
    <w:p>
      <w:pPr>
        <w:spacing w:line="360" w:lineRule="auto"/>
        <w:rPr>
          <w:rFonts w:ascii="宋体" w:hAnsi="宋体"/>
          <w:sz w:val="24"/>
        </w:rPr>
      </w:pPr>
      <w:r>
        <w:rPr>
          <w:rFonts w:hint="eastAsia" w:ascii="宋体" w:hAnsi="宋体"/>
          <w:sz w:val="24"/>
        </w:rPr>
        <w:t>注：须附</w:t>
      </w:r>
      <w:bookmarkStart w:id="794" w:name="_Hlk132972530"/>
      <w:r>
        <w:rPr>
          <w:rFonts w:hint="eastAsia" w:ascii="宋体" w:hAnsi="宋体"/>
          <w:sz w:val="24"/>
        </w:rPr>
        <w:t>学历证书，身份证，资格证书，社保缴纳证明</w:t>
      </w:r>
      <w:bookmarkEnd w:id="794"/>
      <w:r>
        <w:rPr>
          <w:rFonts w:hint="eastAsia" w:ascii="宋体" w:hAnsi="宋体"/>
          <w:sz w:val="24"/>
        </w:rPr>
        <w:t>材料、业绩等证明文件的复印件。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供应商公章：</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日期：</w:t>
      </w:r>
    </w:p>
    <w:p>
      <w:pPr>
        <w:tabs>
          <w:tab w:val="left" w:pos="360"/>
        </w:tabs>
        <w:snapToGrid w:val="0"/>
        <w:spacing w:line="360" w:lineRule="auto"/>
        <w:outlineLvl w:val="1"/>
        <w:rPr>
          <w:sz w:val="24"/>
        </w:rPr>
      </w:pPr>
    </w:p>
    <w:p>
      <w:pPr>
        <w:rPr>
          <w:sz w:val="24"/>
        </w:rPr>
      </w:pPr>
      <w:r>
        <w:rPr>
          <w:rFonts w:hint="eastAsia"/>
          <w:sz w:val="24"/>
        </w:rPr>
        <w:br w:type="page"/>
      </w:r>
    </w:p>
    <w:p>
      <w:pPr>
        <w:tabs>
          <w:tab w:val="left" w:pos="360"/>
        </w:tabs>
        <w:snapToGrid w:val="0"/>
        <w:spacing w:line="360" w:lineRule="auto"/>
        <w:outlineLvl w:val="1"/>
        <w:rPr>
          <w:sz w:val="24"/>
        </w:rPr>
      </w:pPr>
      <w:r>
        <w:rPr>
          <w:rFonts w:hint="eastAsia"/>
          <w:sz w:val="24"/>
        </w:rPr>
        <w:t xml:space="preserve">10.3 </w:t>
      </w:r>
      <w:r>
        <w:rPr>
          <w:sz w:val="24"/>
        </w:rPr>
        <w:t>项目</w:t>
      </w:r>
      <w:r>
        <w:rPr>
          <w:rFonts w:hint="eastAsia"/>
          <w:sz w:val="24"/>
        </w:rPr>
        <w:t>团队</w:t>
      </w:r>
      <w:r>
        <w:rPr>
          <w:sz w:val="24"/>
        </w:rPr>
        <w:t>人员一览表</w:t>
      </w:r>
      <w:bookmarkEnd w:id="791"/>
    </w:p>
    <w:tbl>
      <w:tblPr>
        <w:tblStyle w:val="40"/>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134"/>
        <w:gridCol w:w="1276"/>
        <w:gridCol w:w="141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0" w:type="dxa"/>
            <w:vAlign w:val="center"/>
          </w:tcPr>
          <w:p>
            <w:pPr>
              <w:adjustRightInd w:val="0"/>
              <w:snapToGrid w:val="0"/>
              <w:spacing w:after="120" w:afterLines="50" w:line="360" w:lineRule="auto"/>
              <w:jc w:val="center"/>
              <w:rPr>
                <w:bCs/>
                <w:szCs w:val="21"/>
              </w:rPr>
            </w:pPr>
            <w:r>
              <w:rPr>
                <w:bCs/>
                <w:szCs w:val="21"/>
              </w:rPr>
              <w:t>序号</w:t>
            </w:r>
          </w:p>
        </w:tc>
        <w:tc>
          <w:tcPr>
            <w:tcW w:w="992" w:type="dxa"/>
            <w:vAlign w:val="center"/>
          </w:tcPr>
          <w:p>
            <w:pPr>
              <w:adjustRightInd w:val="0"/>
              <w:snapToGrid w:val="0"/>
              <w:spacing w:after="120" w:afterLines="50" w:line="360" w:lineRule="auto"/>
              <w:jc w:val="center"/>
              <w:rPr>
                <w:bCs/>
                <w:szCs w:val="21"/>
              </w:rPr>
            </w:pPr>
            <w:r>
              <w:rPr>
                <w:bCs/>
                <w:szCs w:val="21"/>
              </w:rPr>
              <w:t>姓名</w:t>
            </w:r>
          </w:p>
        </w:tc>
        <w:tc>
          <w:tcPr>
            <w:tcW w:w="1134" w:type="dxa"/>
            <w:vAlign w:val="center"/>
          </w:tcPr>
          <w:p>
            <w:pPr>
              <w:adjustRightInd w:val="0"/>
              <w:snapToGrid w:val="0"/>
              <w:spacing w:after="120" w:afterLines="50" w:line="360" w:lineRule="auto"/>
              <w:jc w:val="center"/>
              <w:rPr>
                <w:bCs/>
                <w:szCs w:val="21"/>
              </w:rPr>
            </w:pPr>
            <w:r>
              <w:rPr>
                <w:bCs/>
                <w:szCs w:val="21"/>
              </w:rPr>
              <w:t>年龄</w:t>
            </w:r>
          </w:p>
        </w:tc>
        <w:tc>
          <w:tcPr>
            <w:tcW w:w="1276" w:type="dxa"/>
            <w:vAlign w:val="center"/>
          </w:tcPr>
          <w:p>
            <w:pPr>
              <w:adjustRightInd w:val="0"/>
              <w:snapToGrid w:val="0"/>
              <w:spacing w:after="120" w:afterLines="50" w:line="360" w:lineRule="auto"/>
              <w:jc w:val="center"/>
              <w:rPr>
                <w:bCs/>
                <w:szCs w:val="21"/>
              </w:rPr>
            </w:pPr>
            <w:r>
              <w:rPr>
                <w:bCs/>
                <w:szCs w:val="21"/>
              </w:rPr>
              <w:t>学历</w:t>
            </w:r>
          </w:p>
        </w:tc>
        <w:tc>
          <w:tcPr>
            <w:tcW w:w="1417" w:type="dxa"/>
            <w:vAlign w:val="center"/>
          </w:tcPr>
          <w:p>
            <w:pPr>
              <w:adjustRightInd w:val="0"/>
              <w:snapToGrid w:val="0"/>
              <w:spacing w:after="120" w:afterLines="50" w:line="360" w:lineRule="auto"/>
              <w:jc w:val="center"/>
              <w:rPr>
                <w:bCs/>
                <w:szCs w:val="21"/>
              </w:rPr>
            </w:pPr>
            <w:r>
              <w:rPr>
                <w:bCs/>
                <w:szCs w:val="21"/>
              </w:rPr>
              <w:t>本项目职责分工</w:t>
            </w:r>
          </w:p>
        </w:tc>
        <w:tc>
          <w:tcPr>
            <w:tcW w:w="1843" w:type="dxa"/>
            <w:vAlign w:val="center"/>
          </w:tcPr>
          <w:p>
            <w:pPr>
              <w:adjustRightInd w:val="0"/>
              <w:snapToGrid w:val="0"/>
              <w:spacing w:after="120" w:afterLines="50" w:line="360" w:lineRule="auto"/>
              <w:jc w:val="center"/>
              <w:rPr>
                <w:bCs/>
                <w:szCs w:val="21"/>
              </w:rPr>
            </w:pPr>
            <w:r>
              <w:rPr>
                <w:bCs/>
                <w:szCs w:val="21"/>
              </w:rPr>
              <w:t>参加工作时间及年限</w:t>
            </w:r>
          </w:p>
        </w:tc>
        <w:tc>
          <w:tcPr>
            <w:tcW w:w="1843" w:type="dxa"/>
            <w:vAlign w:val="center"/>
          </w:tcPr>
          <w:p>
            <w:pPr>
              <w:adjustRightInd w:val="0"/>
              <w:snapToGrid w:val="0"/>
              <w:spacing w:after="120" w:afterLines="50" w:line="360" w:lineRule="auto"/>
              <w:jc w:val="center"/>
              <w:rPr>
                <w:bCs/>
                <w:szCs w:val="21"/>
              </w:rPr>
            </w:pPr>
            <w:r>
              <w:rPr>
                <w:bCs/>
                <w:szCs w:val="21"/>
              </w:rPr>
              <w:t>获得相关资质证书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20" w:afterLines="50" w:line="360" w:lineRule="auto"/>
              <w:jc w:val="center"/>
              <w:rPr>
                <w:sz w:val="24"/>
                <w:szCs w:val="22"/>
              </w:rPr>
            </w:pPr>
          </w:p>
        </w:tc>
        <w:tc>
          <w:tcPr>
            <w:tcW w:w="992" w:type="dxa"/>
          </w:tcPr>
          <w:p>
            <w:pPr>
              <w:adjustRightInd w:val="0"/>
              <w:snapToGrid w:val="0"/>
              <w:spacing w:after="120" w:afterLines="50" w:line="360" w:lineRule="auto"/>
              <w:jc w:val="center"/>
              <w:rPr>
                <w:sz w:val="24"/>
                <w:szCs w:val="22"/>
              </w:rPr>
            </w:pPr>
          </w:p>
        </w:tc>
        <w:tc>
          <w:tcPr>
            <w:tcW w:w="1134" w:type="dxa"/>
          </w:tcPr>
          <w:p>
            <w:pPr>
              <w:adjustRightInd w:val="0"/>
              <w:snapToGrid w:val="0"/>
              <w:spacing w:after="120" w:afterLines="50" w:line="360" w:lineRule="auto"/>
              <w:jc w:val="center"/>
              <w:rPr>
                <w:sz w:val="24"/>
                <w:szCs w:val="22"/>
              </w:rPr>
            </w:pPr>
          </w:p>
        </w:tc>
        <w:tc>
          <w:tcPr>
            <w:tcW w:w="1276" w:type="dxa"/>
          </w:tcPr>
          <w:p>
            <w:pPr>
              <w:adjustRightInd w:val="0"/>
              <w:snapToGrid w:val="0"/>
              <w:spacing w:after="120" w:afterLines="50" w:line="360" w:lineRule="auto"/>
              <w:jc w:val="center"/>
              <w:rPr>
                <w:sz w:val="24"/>
                <w:szCs w:val="22"/>
              </w:rPr>
            </w:pPr>
          </w:p>
        </w:tc>
        <w:tc>
          <w:tcPr>
            <w:tcW w:w="1417" w:type="dxa"/>
          </w:tcPr>
          <w:p>
            <w:pPr>
              <w:adjustRightInd w:val="0"/>
              <w:snapToGrid w:val="0"/>
              <w:spacing w:after="120" w:afterLines="50" w:line="360" w:lineRule="auto"/>
              <w:jc w:val="center"/>
              <w:rPr>
                <w:sz w:val="24"/>
                <w:szCs w:val="22"/>
              </w:rPr>
            </w:pPr>
          </w:p>
        </w:tc>
        <w:tc>
          <w:tcPr>
            <w:tcW w:w="1843" w:type="dxa"/>
          </w:tcPr>
          <w:p>
            <w:pPr>
              <w:adjustRightInd w:val="0"/>
              <w:snapToGrid w:val="0"/>
              <w:spacing w:after="120" w:afterLines="50" w:line="360" w:lineRule="auto"/>
              <w:jc w:val="center"/>
              <w:rPr>
                <w:sz w:val="24"/>
                <w:szCs w:val="22"/>
              </w:rPr>
            </w:pPr>
          </w:p>
        </w:tc>
        <w:tc>
          <w:tcPr>
            <w:tcW w:w="1843" w:type="dxa"/>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20" w:afterLines="50" w:line="360" w:lineRule="auto"/>
              <w:jc w:val="center"/>
              <w:rPr>
                <w:sz w:val="24"/>
                <w:szCs w:val="22"/>
              </w:rPr>
            </w:pPr>
          </w:p>
        </w:tc>
        <w:tc>
          <w:tcPr>
            <w:tcW w:w="992" w:type="dxa"/>
          </w:tcPr>
          <w:p>
            <w:pPr>
              <w:adjustRightInd w:val="0"/>
              <w:snapToGrid w:val="0"/>
              <w:spacing w:after="120" w:afterLines="50" w:line="360" w:lineRule="auto"/>
              <w:jc w:val="center"/>
              <w:rPr>
                <w:sz w:val="24"/>
                <w:szCs w:val="22"/>
              </w:rPr>
            </w:pPr>
          </w:p>
        </w:tc>
        <w:tc>
          <w:tcPr>
            <w:tcW w:w="1134" w:type="dxa"/>
          </w:tcPr>
          <w:p>
            <w:pPr>
              <w:adjustRightInd w:val="0"/>
              <w:snapToGrid w:val="0"/>
              <w:spacing w:after="120" w:afterLines="50" w:line="360" w:lineRule="auto"/>
              <w:jc w:val="center"/>
              <w:rPr>
                <w:sz w:val="24"/>
                <w:szCs w:val="22"/>
              </w:rPr>
            </w:pPr>
          </w:p>
        </w:tc>
        <w:tc>
          <w:tcPr>
            <w:tcW w:w="1276" w:type="dxa"/>
          </w:tcPr>
          <w:p>
            <w:pPr>
              <w:adjustRightInd w:val="0"/>
              <w:snapToGrid w:val="0"/>
              <w:spacing w:after="120" w:afterLines="50" w:line="360" w:lineRule="auto"/>
              <w:jc w:val="center"/>
              <w:rPr>
                <w:sz w:val="24"/>
                <w:szCs w:val="22"/>
              </w:rPr>
            </w:pPr>
          </w:p>
        </w:tc>
        <w:tc>
          <w:tcPr>
            <w:tcW w:w="1417" w:type="dxa"/>
          </w:tcPr>
          <w:p>
            <w:pPr>
              <w:adjustRightInd w:val="0"/>
              <w:snapToGrid w:val="0"/>
              <w:spacing w:after="120" w:afterLines="50" w:line="360" w:lineRule="auto"/>
              <w:jc w:val="center"/>
              <w:rPr>
                <w:sz w:val="24"/>
                <w:szCs w:val="22"/>
              </w:rPr>
            </w:pPr>
          </w:p>
        </w:tc>
        <w:tc>
          <w:tcPr>
            <w:tcW w:w="1843" w:type="dxa"/>
          </w:tcPr>
          <w:p>
            <w:pPr>
              <w:adjustRightInd w:val="0"/>
              <w:snapToGrid w:val="0"/>
              <w:spacing w:after="120" w:afterLines="50" w:line="360" w:lineRule="auto"/>
              <w:jc w:val="center"/>
              <w:rPr>
                <w:sz w:val="24"/>
                <w:szCs w:val="22"/>
              </w:rPr>
            </w:pPr>
          </w:p>
        </w:tc>
        <w:tc>
          <w:tcPr>
            <w:tcW w:w="1843" w:type="dxa"/>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20" w:afterLines="50" w:line="360" w:lineRule="auto"/>
              <w:jc w:val="center"/>
              <w:rPr>
                <w:sz w:val="24"/>
                <w:szCs w:val="22"/>
              </w:rPr>
            </w:pPr>
          </w:p>
        </w:tc>
        <w:tc>
          <w:tcPr>
            <w:tcW w:w="992" w:type="dxa"/>
          </w:tcPr>
          <w:p>
            <w:pPr>
              <w:adjustRightInd w:val="0"/>
              <w:snapToGrid w:val="0"/>
              <w:spacing w:after="120" w:afterLines="50" w:line="360" w:lineRule="auto"/>
              <w:jc w:val="center"/>
              <w:rPr>
                <w:sz w:val="24"/>
                <w:szCs w:val="22"/>
              </w:rPr>
            </w:pPr>
          </w:p>
        </w:tc>
        <w:tc>
          <w:tcPr>
            <w:tcW w:w="1134" w:type="dxa"/>
          </w:tcPr>
          <w:p>
            <w:pPr>
              <w:adjustRightInd w:val="0"/>
              <w:snapToGrid w:val="0"/>
              <w:spacing w:after="120" w:afterLines="50" w:line="360" w:lineRule="auto"/>
              <w:jc w:val="center"/>
              <w:rPr>
                <w:sz w:val="24"/>
                <w:szCs w:val="22"/>
              </w:rPr>
            </w:pPr>
          </w:p>
        </w:tc>
        <w:tc>
          <w:tcPr>
            <w:tcW w:w="1276" w:type="dxa"/>
          </w:tcPr>
          <w:p>
            <w:pPr>
              <w:adjustRightInd w:val="0"/>
              <w:snapToGrid w:val="0"/>
              <w:spacing w:after="120" w:afterLines="50" w:line="360" w:lineRule="auto"/>
              <w:jc w:val="center"/>
              <w:rPr>
                <w:sz w:val="24"/>
                <w:szCs w:val="22"/>
              </w:rPr>
            </w:pPr>
          </w:p>
        </w:tc>
        <w:tc>
          <w:tcPr>
            <w:tcW w:w="1417" w:type="dxa"/>
          </w:tcPr>
          <w:p>
            <w:pPr>
              <w:adjustRightInd w:val="0"/>
              <w:snapToGrid w:val="0"/>
              <w:spacing w:after="120" w:afterLines="50" w:line="360" w:lineRule="auto"/>
              <w:jc w:val="center"/>
              <w:rPr>
                <w:sz w:val="24"/>
                <w:szCs w:val="22"/>
              </w:rPr>
            </w:pPr>
          </w:p>
        </w:tc>
        <w:tc>
          <w:tcPr>
            <w:tcW w:w="1843" w:type="dxa"/>
          </w:tcPr>
          <w:p>
            <w:pPr>
              <w:adjustRightInd w:val="0"/>
              <w:snapToGrid w:val="0"/>
              <w:spacing w:after="120" w:afterLines="50" w:line="360" w:lineRule="auto"/>
              <w:jc w:val="center"/>
              <w:rPr>
                <w:sz w:val="24"/>
                <w:szCs w:val="22"/>
              </w:rPr>
            </w:pPr>
          </w:p>
        </w:tc>
        <w:tc>
          <w:tcPr>
            <w:tcW w:w="1843" w:type="dxa"/>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20" w:afterLines="50" w:line="360" w:lineRule="auto"/>
              <w:jc w:val="center"/>
              <w:rPr>
                <w:sz w:val="24"/>
                <w:szCs w:val="22"/>
              </w:rPr>
            </w:pPr>
          </w:p>
        </w:tc>
        <w:tc>
          <w:tcPr>
            <w:tcW w:w="992" w:type="dxa"/>
          </w:tcPr>
          <w:p>
            <w:pPr>
              <w:adjustRightInd w:val="0"/>
              <w:snapToGrid w:val="0"/>
              <w:spacing w:after="120" w:afterLines="50" w:line="360" w:lineRule="auto"/>
              <w:jc w:val="center"/>
              <w:rPr>
                <w:sz w:val="24"/>
                <w:szCs w:val="22"/>
              </w:rPr>
            </w:pPr>
          </w:p>
        </w:tc>
        <w:tc>
          <w:tcPr>
            <w:tcW w:w="1134" w:type="dxa"/>
          </w:tcPr>
          <w:p>
            <w:pPr>
              <w:adjustRightInd w:val="0"/>
              <w:snapToGrid w:val="0"/>
              <w:spacing w:after="120" w:afterLines="50" w:line="360" w:lineRule="auto"/>
              <w:jc w:val="center"/>
              <w:rPr>
                <w:sz w:val="24"/>
                <w:szCs w:val="22"/>
              </w:rPr>
            </w:pPr>
          </w:p>
        </w:tc>
        <w:tc>
          <w:tcPr>
            <w:tcW w:w="1276" w:type="dxa"/>
          </w:tcPr>
          <w:p>
            <w:pPr>
              <w:adjustRightInd w:val="0"/>
              <w:snapToGrid w:val="0"/>
              <w:spacing w:after="120" w:afterLines="50" w:line="360" w:lineRule="auto"/>
              <w:jc w:val="center"/>
              <w:rPr>
                <w:sz w:val="24"/>
                <w:szCs w:val="22"/>
              </w:rPr>
            </w:pPr>
          </w:p>
        </w:tc>
        <w:tc>
          <w:tcPr>
            <w:tcW w:w="1417" w:type="dxa"/>
          </w:tcPr>
          <w:p>
            <w:pPr>
              <w:adjustRightInd w:val="0"/>
              <w:snapToGrid w:val="0"/>
              <w:spacing w:after="120" w:afterLines="50" w:line="360" w:lineRule="auto"/>
              <w:jc w:val="center"/>
              <w:rPr>
                <w:sz w:val="24"/>
                <w:szCs w:val="22"/>
              </w:rPr>
            </w:pPr>
          </w:p>
        </w:tc>
        <w:tc>
          <w:tcPr>
            <w:tcW w:w="1843" w:type="dxa"/>
          </w:tcPr>
          <w:p>
            <w:pPr>
              <w:adjustRightInd w:val="0"/>
              <w:snapToGrid w:val="0"/>
              <w:spacing w:after="120" w:afterLines="50" w:line="360" w:lineRule="auto"/>
              <w:jc w:val="center"/>
              <w:rPr>
                <w:sz w:val="24"/>
                <w:szCs w:val="22"/>
              </w:rPr>
            </w:pPr>
          </w:p>
        </w:tc>
        <w:tc>
          <w:tcPr>
            <w:tcW w:w="1843" w:type="dxa"/>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20" w:afterLines="50" w:line="360" w:lineRule="auto"/>
              <w:jc w:val="center"/>
              <w:rPr>
                <w:sz w:val="24"/>
                <w:szCs w:val="22"/>
              </w:rPr>
            </w:pPr>
          </w:p>
        </w:tc>
        <w:tc>
          <w:tcPr>
            <w:tcW w:w="992" w:type="dxa"/>
          </w:tcPr>
          <w:p>
            <w:pPr>
              <w:adjustRightInd w:val="0"/>
              <w:snapToGrid w:val="0"/>
              <w:spacing w:after="120" w:afterLines="50" w:line="360" w:lineRule="auto"/>
              <w:jc w:val="center"/>
              <w:rPr>
                <w:sz w:val="24"/>
                <w:szCs w:val="22"/>
              </w:rPr>
            </w:pPr>
          </w:p>
        </w:tc>
        <w:tc>
          <w:tcPr>
            <w:tcW w:w="1134" w:type="dxa"/>
          </w:tcPr>
          <w:p>
            <w:pPr>
              <w:adjustRightInd w:val="0"/>
              <w:snapToGrid w:val="0"/>
              <w:spacing w:after="120" w:afterLines="50" w:line="360" w:lineRule="auto"/>
              <w:jc w:val="center"/>
              <w:rPr>
                <w:sz w:val="24"/>
                <w:szCs w:val="22"/>
              </w:rPr>
            </w:pPr>
          </w:p>
        </w:tc>
        <w:tc>
          <w:tcPr>
            <w:tcW w:w="1276" w:type="dxa"/>
          </w:tcPr>
          <w:p>
            <w:pPr>
              <w:adjustRightInd w:val="0"/>
              <w:snapToGrid w:val="0"/>
              <w:spacing w:after="120" w:afterLines="50" w:line="360" w:lineRule="auto"/>
              <w:jc w:val="center"/>
              <w:rPr>
                <w:sz w:val="24"/>
                <w:szCs w:val="22"/>
              </w:rPr>
            </w:pPr>
          </w:p>
        </w:tc>
        <w:tc>
          <w:tcPr>
            <w:tcW w:w="1417" w:type="dxa"/>
          </w:tcPr>
          <w:p>
            <w:pPr>
              <w:adjustRightInd w:val="0"/>
              <w:snapToGrid w:val="0"/>
              <w:spacing w:after="120" w:afterLines="50" w:line="360" w:lineRule="auto"/>
              <w:jc w:val="center"/>
              <w:rPr>
                <w:sz w:val="24"/>
                <w:szCs w:val="22"/>
              </w:rPr>
            </w:pPr>
          </w:p>
        </w:tc>
        <w:tc>
          <w:tcPr>
            <w:tcW w:w="1843" w:type="dxa"/>
          </w:tcPr>
          <w:p>
            <w:pPr>
              <w:adjustRightInd w:val="0"/>
              <w:snapToGrid w:val="0"/>
              <w:spacing w:after="120" w:afterLines="50" w:line="360" w:lineRule="auto"/>
              <w:jc w:val="center"/>
              <w:rPr>
                <w:sz w:val="24"/>
                <w:szCs w:val="22"/>
              </w:rPr>
            </w:pPr>
          </w:p>
        </w:tc>
        <w:tc>
          <w:tcPr>
            <w:tcW w:w="1843" w:type="dxa"/>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20" w:afterLines="50" w:line="360" w:lineRule="auto"/>
              <w:jc w:val="center"/>
              <w:rPr>
                <w:sz w:val="24"/>
                <w:szCs w:val="22"/>
              </w:rPr>
            </w:pPr>
          </w:p>
        </w:tc>
        <w:tc>
          <w:tcPr>
            <w:tcW w:w="992" w:type="dxa"/>
          </w:tcPr>
          <w:p>
            <w:pPr>
              <w:adjustRightInd w:val="0"/>
              <w:snapToGrid w:val="0"/>
              <w:spacing w:after="120" w:afterLines="50" w:line="360" w:lineRule="auto"/>
              <w:jc w:val="center"/>
              <w:rPr>
                <w:sz w:val="24"/>
                <w:szCs w:val="22"/>
              </w:rPr>
            </w:pPr>
          </w:p>
        </w:tc>
        <w:tc>
          <w:tcPr>
            <w:tcW w:w="1134" w:type="dxa"/>
          </w:tcPr>
          <w:p>
            <w:pPr>
              <w:adjustRightInd w:val="0"/>
              <w:snapToGrid w:val="0"/>
              <w:spacing w:after="120" w:afterLines="50" w:line="360" w:lineRule="auto"/>
              <w:jc w:val="center"/>
              <w:rPr>
                <w:sz w:val="24"/>
                <w:szCs w:val="22"/>
              </w:rPr>
            </w:pPr>
          </w:p>
        </w:tc>
        <w:tc>
          <w:tcPr>
            <w:tcW w:w="1276" w:type="dxa"/>
          </w:tcPr>
          <w:p>
            <w:pPr>
              <w:adjustRightInd w:val="0"/>
              <w:snapToGrid w:val="0"/>
              <w:spacing w:after="120" w:afterLines="50" w:line="360" w:lineRule="auto"/>
              <w:jc w:val="center"/>
              <w:rPr>
                <w:sz w:val="24"/>
                <w:szCs w:val="22"/>
              </w:rPr>
            </w:pPr>
          </w:p>
        </w:tc>
        <w:tc>
          <w:tcPr>
            <w:tcW w:w="1417" w:type="dxa"/>
          </w:tcPr>
          <w:p>
            <w:pPr>
              <w:adjustRightInd w:val="0"/>
              <w:snapToGrid w:val="0"/>
              <w:spacing w:after="120" w:afterLines="50" w:line="360" w:lineRule="auto"/>
              <w:jc w:val="center"/>
              <w:rPr>
                <w:sz w:val="24"/>
                <w:szCs w:val="22"/>
              </w:rPr>
            </w:pPr>
          </w:p>
        </w:tc>
        <w:tc>
          <w:tcPr>
            <w:tcW w:w="1843" w:type="dxa"/>
          </w:tcPr>
          <w:p>
            <w:pPr>
              <w:adjustRightInd w:val="0"/>
              <w:snapToGrid w:val="0"/>
              <w:spacing w:after="120" w:afterLines="50" w:line="360" w:lineRule="auto"/>
              <w:jc w:val="center"/>
              <w:rPr>
                <w:sz w:val="24"/>
                <w:szCs w:val="22"/>
              </w:rPr>
            </w:pPr>
          </w:p>
        </w:tc>
        <w:tc>
          <w:tcPr>
            <w:tcW w:w="1843" w:type="dxa"/>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20" w:afterLines="50" w:line="360" w:lineRule="auto"/>
              <w:jc w:val="center"/>
              <w:rPr>
                <w:sz w:val="24"/>
                <w:szCs w:val="22"/>
              </w:rPr>
            </w:pPr>
          </w:p>
        </w:tc>
        <w:tc>
          <w:tcPr>
            <w:tcW w:w="992" w:type="dxa"/>
          </w:tcPr>
          <w:p>
            <w:pPr>
              <w:adjustRightInd w:val="0"/>
              <w:snapToGrid w:val="0"/>
              <w:spacing w:after="120" w:afterLines="50" w:line="360" w:lineRule="auto"/>
              <w:jc w:val="center"/>
              <w:rPr>
                <w:sz w:val="24"/>
                <w:szCs w:val="22"/>
              </w:rPr>
            </w:pPr>
          </w:p>
        </w:tc>
        <w:tc>
          <w:tcPr>
            <w:tcW w:w="1134" w:type="dxa"/>
          </w:tcPr>
          <w:p>
            <w:pPr>
              <w:adjustRightInd w:val="0"/>
              <w:snapToGrid w:val="0"/>
              <w:spacing w:after="120" w:afterLines="50" w:line="360" w:lineRule="auto"/>
              <w:jc w:val="center"/>
              <w:rPr>
                <w:sz w:val="24"/>
                <w:szCs w:val="22"/>
              </w:rPr>
            </w:pPr>
          </w:p>
        </w:tc>
        <w:tc>
          <w:tcPr>
            <w:tcW w:w="1276" w:type="dxa"/>
          </w:tcPr>
          <w:p>
            <w:pPr>
              <w:adjustRightInd w:val="0"/>
              <w:snapToGrid w:val="0"/>
              <w:spacing w:after="120" w:afterLines="50" w:line="360" w:lineRule="auto"/>
              <w:jc w:val="center"/>
              <w:rPr>
                <w:sz w:val="24"/>
                <w:szCs w:val="22"/>
              </w:rPr>
            </w:pPr>
          </w:p>
        </w:tc>
        <w:tc>
          <w:tcPr>
            <w:tcW w:w="1417" w:type="dxa"/>
          </w:tcPr>
          <w:p>
            <w:pPr>
              <w:adjustRightInd w:val="0"/>
              <w:snapToGrid w:val="0"/>
              <w:spacing w:after="120" w:afterLines="50" w:line="360" w:lineRule="auto"/>
              <w:jc w:val="center"/>
              <w:rPr>
                <w:sz w:val="24"/>
                <w:szCs w:val="22"/>
              </w:rPr>
            </w:pPr>
          </w:p>
        </w:tc>
        <w:tc>
          <w:tcPr>
            <w:tcW w:w="1843" w:type="dxa"/>
          </w:tcPr>
          <w:p>
            <w:pPr>
              <w:adjustRightInd w:val="0"/>
              <w:snapToGrid w:val="0"/>
              <w:spacing w:after="120" w:afterLines="50" w:line="360" w:lineRule="auto"/>
              <w:jc w:val="center"/>
              <w:rPr>
                <w:sz w:val="24"/>
                <w:szCs w:val="22"/>
              </w:rPr>
            </w:pPr>
          </w:p>
        </w:tc>
        <w:tc>
          <w:tcPr>
            <w:tcW w:w="1843" w:type="dxa"/>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20" w:afterLines="50" w:line="360" w:lineRule="auto"/>
              <w:jc w:val="center"/>
              <w:rPr>
                <w:sz w:val="24"/>
                <w:szCs w:val="22"/>
              </w:rPr>
            </w:pPr>
          </w:p>
        </w:tc>
        <w:tc>
          <w:tcPr>
            <w:tcW w:w="992" w:type="dxa"/>
          </w:tcPr>
          <w:p>
            <w:pPr>
              <w:adjustRightInd w:val="0"/>
              <w:snapToGrid w:val="0"/>
              <w:spacing w:after="120" w:afterLines="50" w:line="360" w:lineRule="auto"/>
              <w:jc w:val="center"/>
              <w:rPr>
                <w:sz w:val="24"/>
                <w:szCs w:val="22"/>
              </w:rPr>
            </w:pPr>
          </w:p>
        </w:tc>
        <w:tc>
          <w:tcPr>
            <w:tcW w:w="1134" w:type="dxa"/>
          </w:tcPr>
          <w:p>
            <w:pPr>
              <w:adjustRightInd w:val="0"/>
              <w:snapToGrid w:val="0"/>
              <w:spacing w:after="120" w:afterLines="50" w:line="360" w:lineRule="auto"/>
              <w:jc w:val="center"/>
              <w:rPr>
                <w:sz w:val="24"/>
                <w:szCs w:val="22"/>
              </w:rPr>
            </w:pPr>
          </w:p>
        </w:tc>
        <w:tc>
          <w:tcPr>
            <w:tcW w:w="1276" w:type="dxa"/>
          </w:tcPr>
          <w:p>
            <w:pPr>
              <w:adjustRightInd w:val="0"/>
              <w:snapToGrid w:val="0"/>
              <w:spacing w:after="120" w:afterLines="50" w:line="360" w:lineRule="auto"/>
              <w:jc w:val="center"/>
              <w:rPr>
                <w:sz w:val="24"/>
                <w:szCs w:val="22"/>
              </w:rPr>
            </w:pPr>
          </w:p>
        </w:tc>
        <w:tc>
          <w:tcPr>
            <w:tcW w:w="1417" w:type="dxa"/>
          </w:tcPr>
          <w:p>
            <w:pPr>
              <w:adjustRightInd w:val="0"/>
              <w:snapToGrid w:val="0"/>
              <w:spacing w:after="120" w:afterLines="50" w:line="360" w:lineRule="auto"/>
              <w:jc w:val="center"/>
              <w:rPr>
                <w:sz w:val="24"/>
                <w:szCs w:val="22"/>
              </w:rPr>
            </w:pPr>
          </w:p>
        </w:tc>
        <w:tc>
          <w:tcPr>
            <w:tcW w:w="1843" w:type="dxa"/>
          </w:tcPr>
          <w:p>
            <w:pPr>
              <w:adjustRightInd w:val="0"/>
              <w:snapToGrid w:val="0"/>
              <w:spacing w:after="120" w:afterLines="50" w:line="360" w:lineRule="auto"/>
              <w:jc w:val="center"/>
              <w:rPr>
                <w:sz w:val="24"/>
                <w:szCs w:val="22"/>
              </w:rPr>
            </w:pPr>
          </w:p>
        </w:tc>
        <w:tc>
          <w:tcPr>
            <w:tcW w:w="1843" w:type="dxa"/>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20" w:afterLines="50" w:line="360" w:lineRule="auto"/>
              <w:jc w:val="center"/>
              <w:rPr>
                <w:sz w:val="24"/>
                <w:szCs w:val="22"/>
              </w:rPr>
            </w:pPr>
          </w:p>
        </w:tc>
        <w:tc>
          <w:tcPr>
            <w:tcW w:w="992" w:type="dxa"/>
          </w:tcPr>
          <w:p>
            <w:pPr>
              <w:adjustRightInd w:val="0"/>
              <w:snapToGrid w:val="0"/>
              <w:spacing w:after="120" w:afterLines="50" w:line="360" w:lineRule="auto"/>
              <w:jc w:val="center"/>
              <w:rPr>
                <w:sz w:val="24"/>
                <w:szCs w:val="22"/>
              </w:rPr>
            </w:pPr>
          </w:p>
        </w:tc>
        <w:tc>
          <w:tcPr>
            <w:tcW w:w="1134" w:type="dxa"/>
          </w:tcPr>
          <w:p>
            <w:pPr>
              <w:adjustRightInd w:val="0"/>
              <w:snapToGrid w:val="0"/>
              <w:spacing w:after="120" w:afterLines="50" w:line="360" w:lineRule="auto"/>
              <w:jc w:val="center"/>
              <w:rPr>
                <w:sz w:val="24"/>
                <w:szCs w:val="22"/>
              </w:rPr>
            </w:pPr>
          </w:p>
        </w:tc>
        <w:tc>
          <w:tcPr>
            <w:tcW w:w="1276" w:type="dxa"/>
          </w:tcPr>
          <w:p>
            <w:pPr>
              <w:adjustRightInd w:val="0"/>
              <w:snapToGrid w:val="0"/>
              <w:spacing w:after="120" w:afterLines="50" w:line="360" w:lineRule="auto"/>
              <w:jc w:val="center"/>
              <w:rPr>
                <w:sz w:val="24"/>
                <w:szCs w:val="22"/>
              </w:rPr>
            </w:pPr>
          </w:p>
        </w:tc>
        <w:tc>
          <w:tcPr>
            <w:tcW w:w="1417" w:type="dxa"/>
          </w:tcPr>
          <w:p>
            <w:pPr>
              <w:adjustRightInd w:val="0"/>
              <w:snapToGrid w:val="0"/>
              <w:spacing w:after="120" w:afterLines="50" w:line="360" w:lineRule="auto"/>
              <w:jc w:val="center"/>
              <w:rPr>
                <w:sz w:val="24"/>
                <w:szCs w:val="22"/>
              </w:rPr>
            </w:pPr>
          </w:p>
        </w:tc>
        <w:tc>
          <w:tcPr>
            <w:tcW w:w="1843" w:type="dxa"/>
          </w:tcPr>
          <w:p>
            <w:pPr>
              <w:adjustRightInd w:val="0"/>
              <w:snapToGrid w:val="0"/>
              <w:spacing w:after="120" w:afterLines="50" w:line="360" w:lineRule="auto"/>
              <w:jc w:val="center"/>
              <w:rPr>
                <w:sz w:val="24"/>
                <w:szCs w:val="22"/>
              </w:rPr>
            </w:pPr>
          </w:p>
        </w:tc>
        <w:tc>
          <w:tcPr>
            <w:tcW w:w="1843" w:type="dxa"/>
          </w:tcPr>
          <w:p>
            <w:pPr>
              <w:adjustRightInd w:val="0"/>
              <w:snapToGrid w:val="0"/>
              <w:spacing w:after="120" w:afterLines="50" w:line="360" w:lineRule="auto"/>
              <w:jc w:val="center"/>
              <w:rPr>
                <w:sz w:val="24"/>
                <w:szCs w:val="22"/>
              </w:rPr>
            </w:pPr>
          </w:p>
        </w:tc>
      </w:tr>
    </w:tbl>
    <w:p>
      <w:pPr>
        <w:spacing w:line="360" w:lineRule="auto"/>
        <w:rPr>
          <w:sz w:val="24"/>
        </w:rPr>
      </w:pPr>
    </w:p>
    <w:p>
      <w:pPr>
        <w:spacing w:line="360" w:lineRule="auto"/>
        <w:rPr>
          <w:szCs w:val="21"/>
        </w:rPr>
      </w:pPr>
      <w:r>
        <w:rPr>
          <w:szCs w:val="21"/>
        </w:rPr>
        <w:t>备注：附项目团队人员的身份证、学历证</w:t>
      </w:r>
      <w:r>
        <w:rPr>
          <w:rFonts w:hint="eastAsia"/>
          <w:szCs w:val="21"/>
        </w:rPr>
        <w:t>（若有）、</w:t>
      </w:r>
      <w:r>
        <w:rPr>
          <w:szCs w:val="21"/>
        </w:rPr>
        <w:t>职称证</w:t>
      </w:r>
      <w:r>
        <w:rPr>
          <w:rFonts w:hint="eastAsia"/>
          <w:szCs w:val="21"/>
        </w:rPr>
        <w:t>（若有）</w:t>
      </w:r>
      <w:r>
        <w:rPr>
          <w:szCs w:val="21"/>
        </w:rPr>
        <w:t>、</w:t>
      </w:r>
      <w:r>
        <w:rPr>
          <w:rFonts w:hint="eastAsia"/>
          <w:szCs w:val="21"/>
        </w:rPr>
        <w:t>职业资格证书（若有）、社保缴纳证明材料、</w:t>
      </w:r>
      <w:r>
        <w:rPr>
          <w:szCs w:val="21"/>
        </w:rPr>
        <w:t>相关资料复印件并加盖供应商公章。</w:t>
      </w:r>
    </w:p>
    <w:p>
      <w:pPr>
        <w:spacing w:line="360" w:lineRule="auto"/>
        <w:rPr>
          <w:szCs w:val="21"/>
        </w:rPr>
      </w:pPr>
    </w:p>
    <w:p>
      <w:pPr>
        <w:widowControl/>
        <w:jc w:val="left"/>
        <w:rPr>
          <w:szCs w:val="21"/>
        </w:rPr>
      </w:pPr>
      <w:r>
        <w:rPr>
          <w:szCs w:val="21"/>
        </w:rPr>
        <w:br w:type="page"/>
      </w:r>
    </w:p>
    <w:p>
      <w:pPr>
        <w:tabs>
          <w:tab w:val="left" w:pos="360"/>
        </w:tabs>
        <w:snapToGrid w:val="0"/>
        <w:spacing w:line="360" w:lineRule="auto"/>
        <w:outlineLvl w:val="1"/>
        <w:rPr>
          <w:sz w:val="24"/>
        </w:rPr>
      </w:pPr>
      <w:r>
        <w:rPr>
          <w:rFonts w:hint="eastAsia"/>
          <w:sz w:val="24"/>
        </w:rPr>
        <w:t>10.4 服务方案及承诺</w:t>
      </w:r>
    </w:p>
    <w:p>
      <w:pPr>
        <w:spacing w:line="360" w:lineRule="auto"/>
        <w:rPr>
          <w:szCs w:val="21"/>
        </w:rPr>
      </w:pPr>
    </w:p>
    <w:p>
      <w:pPr>
        <w:pStyle w:val="23"/>
        <w:spacing w:line="360" w:lineRule="auto"/>
        <w:jc w:val="left"/>
        <w:rPr>
          <w:rFonts w:hint="default" w:hAnsi="宋体"/>
          <w:bCs/>
          <w:color w:val="000000"/>
          <w:sz w:val="24"/>
          <w:szCs w:val="24"/>
          <w:lang w:eastAsia="zh-Hans"/>
        </w:rPr>
      </w:pPr>
      <w:r>
        <w:rPr>
          <w:rFonts w:hAnsi="宋体"/>
          <w:bCs/>
          <w:color w:val="000000"/>
          <w:sz w:val="24"/>
          <w:szCs w:val="24"/>
        </w:rPr>
        <w:t>格式自拟，根据第三章评审标准和第四章采购需求自行编写</w:t>
      </w:r>
    </w:p>
    <w:p>
      <w:pPr>
        <w:widowControl/>
        <w:spacing w:line="360" w:lineRule="auto"/>
        <w:jc w:val="left"/>
        <w:rPr>
          <w:rFonts w:ascii="宋体" w:hAnsi="宋体"/>
          <w:b/>
          <w:sz w:val="36"/>
          <w:szCs w:val="36"/>
        </w:rPr>
      </w:pPr>
    </w:p>
    <w:sectPr>
      <w:headerReference r:id="rId15" w:type="first"/>
      <w:footerReference r:id="rId17" w:type="first"/>
      <w:headerReference r:id="rId14" w:type="even"/>
      <w:footerReference r:id="rId16"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Yu Mincho Light">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79</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5"/>
      </w:rPr>
    </w:pPr>
  </w:p>
  <w:p>
    <w:pPr>
      <w:pStyle w:val="27"/>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5"/>
      </w:rPr>
    </w:pPr>
    <w:r>
      <w:rPr>
        <w:rStyle w:val="45"/>
      </w:rPr>
      <w:fldChar w:fldCharType="begin"/>
    </w:r>
    <w:r>
      <w:rPr>
        <w:rStyle w:val="45"/>
      </w:rPr>
      <w:instrText xml:space="preserve">PAGE  </w:instrText>
    </w:r>
    <w:r>
      <w:rPr>
        <w:rStyle w:val="45"/>
      </w:rPr>
      <w:fldChar w:fldCharType="end"/>
    </w:r>
  </w:p>
  <w:p>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2</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5"/>
      </w:rPr>
    </w:pPr>
    <w:r>
      <w:rPr>
        <w:rStyle w:val="45"/>
      </w:rPr>
      <w:fldChar w:fldCharType="begin"/>
    </w:r>
    <w:r>
      <w:rPr>
        <w:rStyle w:val="45"/>
      </w:rPr>
      <w:instrText xml:space="preserve">PAGE  </w:instrText>
    </w:r>
    <w:r>
      <w:rPr>
        <w:rStyle w:val="45"/>
      </w:rPr>
      <w:fldChar w:fldCharType="end"/>
    </w:r>
  </w:p>
  <w:p>
    <w:pPr>
      <w:pStyle w:val="27"/>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5"/>
      </w:rPr>
    </w:pPr>
    <w:r>
      <w:rPr>
        <w:rStyle w:val="45"/>
      </w:rPr>
      <w:fldChar w:fldCharType="begin"/>
    </w:r>
    <w:r>
      <w:rPr>
        <w:rStyle w:val="45"/>
      </w:rPr>
      <w:instrText xml:space="preserve">PAGE  </w:instrText>
    </w:r>
    <w:r>
      <w:rPr>
        <w:rStyle w:val="45"/>
      </w:rPr>
      <w:fldChar w:fldCharType="end"/>
    </w:r>
  </w:p>
  <w:p>
    <w:pPr>
      <w:pStyle w:val="27"/>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ind w:left="357" w:hanging="351"/>
      </w:pPr>
      <w:rPr>
        <w:rFonts w:ascii="Times New Roman" w:eastAsia="宋体"/>
        <w:b w:val="0"/>
        <w:i w:val="0"/>
        <w:color w:val="0F0F0F"/>
        <w:spacing w:val="0"/>
        <w:w w:val="100"/>
        <w:sz w:val="21"/>
        <w:u w:val="none"/>
        <w:vertAlign w:val="baseline"/>
        <w:em w:val="dot"/>
      </w:rPr>
    </w:lvl>
    <w:lvl w:ilvl="1" w:tentative="0">
      <w:start w:val="1"/>
      <w:numFmt w:val="lowerLetter"/>
      <w:lvlText w:val="%2)"/>
      <w:lvlJc w:val="left"/>
      <w:pPr>
        <w:ind w:left="839" w:hanging="413"/>
      </w:pPr>
      <w:rPr>
        <w:rFonts w:ascii="Times New Roman" w:eastAsia="宋体"/>
        <w:b w:val="0"/>
        <w:i w:val="0"/>
        <w:color w:val="0F0F0F"/>
        <w:spacing w:val="0"/>
        <w:w w:val="100"/>
        <w:sz w:val="21"/>
        <w:u w:val="none"/>
        <w:vertAlign w:val="baseline"/>
        <w:em w:val="dot"/>
      </w:rPr>
    </w:lvl>
    <w:lvl w:ilvl="2" w:tentative="0">
      <w:start w:val="1"/>
      <w:numFmt w:val="lowerRoman"/>
      <w:lvlText w:val="%3."/>
      <w:lvlJc w:val="left"/>
      <w:pPr>
        <w:ind w:left="1258" w:hanging="413"/>
      </w:pPr>
      <w:rPr>
        <w:rFonts w:ascii="Times New Roman" w:eastAsia="宋体"/>
        <w:b w:val="0"/>
        <w:i w:val="0"/>
        <w:color w:val="0F0F0F"/>
        <w:spacing w:val="0"/>
        <w:w w:val="100"/>
        <w:sz w:val="21"/>
        <w:u w:val="none"/>
        <w:vertAlign w:val="baseline"/>
        <w:em w:val="dot"/>
      </w:rPr>
    </w:lvl>
    <w:lvl w:ilvl="3" w:tentative="0">
      <w:start w:val="1"/>
      <w:numFmt w:val="decimal"/>
      <w:lvlText w:val="%4."/>
      <w:lvlJc w:val="left"/>
      <w:pPr>
        <w:ind w:left="1678" w:hanging="413"/>
      </w:pPr>
      <w:rPr>
        <w:rFonts w:ascii="Times New Roman" w:eastAsia="宋体"/>
        <w:b w:val="0"/>
        <w:i w:val="0"/>
        <w:color w:val="0F0F0F"/>
        <w:spacing w:val="0"/>
        <w:w w:val="100"/>
        <w:sz w:val="21"/>
        <w:u w:val="none"/>
        <w:vertAlign w:val="baseline"/>
        <w:em w:val="dot"/>
      </w:rPr>
    </w:lvl>
    <w:lvl w:ilvl="4" w:tentative="0">
      <w:start w:val="1"/>
      <w:numFmt w:val="lowerLetter"/>
      <w:lvlText w:val="%5)"/>
      <w:lvlJc w:val="left"/>
      <w:pPr>
        <w:ind w:left="2097" w:hanging="413"/>
      </w:pPr>
      <w:rPr>
        <w:rFonts w:ascii="Times New Roman" w:eastAsia="宋体"/>
        <w:b w:val="0"/>
        <w:i w:val="0"/>
        <w:color w:val="0F0F0F"/>
        <w:spacing w:val="0"/>
        <w:w w:val="100"/>
        <w:sz w:val="21"/>
        <w:u w:val="none"/>
        <w:vertAlign w:val="baseline"/>
        <w:em w:val="dot"/>
      </w:rPr>
    </w:lvl>
    <w:lvl w:ilvl="5" w:tentative="0">
      <w:start w:val="1"/>
      <w:numFmt w:val="lowerRoman"/>
      <w:lvlText w:val="%6."/>
      <w:lvlJc w:val="left"/>
      <w:pPr>
        <w:ind w:left="2517" w:hanging="413"/>
      </w:pPr>
      <w:rPr>
        <w:rFonts w:ascii="Times New Roman" w:eastAsia="宋体"/>
        <w:b w:val="0"/>
        <w:i w:val="0"/>
        <w:color w:val="0F0F0F"/>
        <w:spacing w:val="0"/>
        <w:w w:val="100"/>
        <w:sz w:val="21"/>
        <w:u w:val="none"/>
        <w:vertAlign w:val="baseline"/>
        <w:em w:val="dot"/>
      </w:rPr>
    </w:lvl>
    <w:lvl w:ilvl="6" w:tentative="0">
      <w:start w:val="1"/>
      <w:numFmt w:val="decimal"/>
      <w:lvlText w:val="%7."/>
      <w:lvlJc w:val="left"/>
      <w:pPr>
        <w:ind w:left="2936" w:hanging="413"/>
      </w:pPr>
      <w:rPr>
        <w:rFonts w:ascii="Times New Roman" w:eastAsia="宋体"/>
        <w:b w:val="0"/>
        <w:i w:val="0"/>
        <w:color w:val="0F0F0F"/>
        <w:spacing w:val="0"/>
        <w:w w:val="100"/>
        <w:sz w:val="21"/>
        <w:u w:val="none"/>
        <w:vertAlign w:val="baseline"/>
        <w:em w:val="dot"/>
      </w:rPr>
    </w:lvl>
    <w:lvl w:ilvl="7" w:tentative="0">
      <w:start w:val="1"/>
      <w:numFmt w:val="lowerLetter"/>
      <w:lvlText w:val="%8)"/>
      <w:lvlJc w:val="left"/>
      <w:pPr>
        <w:ind w:left="3356" w:hanging="413"/>
      </w:pPr>
      <w:rPr>
        <w:rFonts w:ascii="Times New Roman" w:eastAsia="宋体"/>
        <w:b w:val="0"/>
        <w:i w:val="0"/>
        <w:color w:val="0F0F0F"/>
        <w:spacing w:val="0"/>
        <w:w w:val="100"/>
        <w:sz w:val="21"/>
        <w:u w:val="none"/>
        <w:vertAlign w:val="baseline"/>
        <w:em w:val="dot"/>
      </w:rPr>
    </w:lvl>
    <w:lvl w:ilvl="8" w:tentative="0">
      <w:start w:val="1"/>
      <w:numFmt w:val="lowerRoman"/>
      <w:lvlText w:val="%9."/>
      <w:lvlJc w:val="left"/>
      <w:pPr>
        <w:ind w:left="3775" w:hanging="413"/>
      </w:pPr>
      <w:rPr>
        <w:rFonts w:ascii="Times New Roman" w:eastAsia="宋体"/>
        <w:b w:val="0"/>
        <w:i w:val="0"/>
        <w:color w:val="0F0F0F"/>
        <w:spacing w:val="0"/>
        <w:w w:val="100"/>
        <w:sz w:val="21"/>
        <w:u w:val="none"/>
        <w:vertAlign w:val="baseline"/>
        <w:em w:val="dot"/>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9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62"/>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1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1042"/>
        </w:tabs>
        <w:ind w:left="1042"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0">
    <w:nsid w:val="0E230849"/>
    <w:multiLevelType w:val="multilevel"/>
    <w:tmpl w:val="0E230849"/>
    <w:lvl w:ilvl="0" w:tentative="0">
      <w:start w:val="1"/>
      <w:numFmt w:val="decimal"/>
      <w:pStyle w:val="217"/>
      <w:lvlText w:val="%1"/>
      <w:lvlJc w:val="left"/>
      <w:pPr>
        <w:ind w:left="680" w:hanging="680"/>
      </w:pPr>
      <w:rPr>
        <w:rFonts w:hint="eastAsia" w:ascii="宋体" w:hAnsi="宋体" w:eastAsia="宋体"/>
      </w:rPr>
    </w:lvl>
    <w:lvl w:ilvl="1" w:tentative="0">
      <w:start w:val="1"/>
      <w:numFmt w:val="decimal"/>
      <w:pStyle w:val="218"/>
      <w:lvlText w:val="%1.%2"/>
      <w:lvlJc w:val="left"/>
      <w:pPr>
        <w:ind w:left="851" w:hanging="851"/>
      </w:pPr>
      <w:rPr>
        <w:rFonts w:hint="eastAsia" w:ascii="宋体" w:hAnsi="宋体" w:eastAsia="宋体"/>
        <w:color w:val="auto"/>
      </w:rPr>
    </w:lvl>
    <w:lvl w:ilvl="2" w:tentative="0">
      <w:start w:val="1"/>
      <w:numFmt w:val="decimal"/>
      <w:pStyle w:val="219"/>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26640027"/>
    <w:multiLevelType w:val="multilevel"/>
    <w:tmpl w:val="26640027"/>
    <w:lvl w:ilvl="0" w:tentative="0">
      <w:start w:val="5"/>
      <w:numFmt w:val="decimal"/>
      <w:lvlText w:val="%1"/>
      <w:lvlJc w:val="left"/>
      <w:pPr>
        <w:ind w:left="360" w:hanging="360"/>
      </w:pPr>
      <w:rPr>
        <w:rFonts w:hint="default"/>
      </w:rPr>
    </w:lvl>
    <w:lvl w:ilvl="1" w:tentative="0">
      <w:start w:val="3"/>
      <w:numFmt w:val="decimal"/>
      <w:lvlText w:val="%1.%2"/>
      <w:lvlJc w:val="left"/>
      <w:pPr>
        <w:ind w:left="366" w:hanging="360"/>
      </w:pPr>
      <w:rPr>
        <w:rFonts w:hint="default"/>
      </w:rPr>
    </w:lvl>
    <w:lvl w:ilvl="2" w:tentative="0">
      <w:start w:val="1"/>
      <w:numFmt w:val="decimal"/>
      <w:lvlText w:val="%1.%2.%3"/>
      <w:lvlJc w:val="left"/>
      <w:pPr>
        <w:ind w:left="732" w:hanging="720"/>
      </w:pPr>
      <w:rPr>
        <w:rFonts w:hint="default"/>
      </w:rPr>
    </w:lvl>
    <w:lvl w:ilvl="3" w:tentative="0">
      <w:start w:val="1"/>
      <w:numFmt w:val="decimal"/>
      <w:lvlText w:val="%1.%2.%3.%4"/>
      <w:lvlJc w:val="left"/>
      <w:pPr>
        <w:ind w:left="1098" w:hanging="1080"/>
      </w:pPr>
      <w:rPr>
        <w:rFonts w:hint="default"/>
      </w:rPr>
    </w:lvl>
    <w:lvl w:ilvl="4" w:tentative="0">
      <w:start w:val="1"/>
      <w:numFmt w:val="decimal"/>
      <w:lvlText w:val="%1.%2.%3.%4.%5"/>
      <w:lvlJc w:val="left"/>
      <w:pPr>
        <w:ind w:left="1104" w:hanging="1080"/>
      </w:pPr>
      <w:rPr>
        <w:rFonts w:hint="default"/>
      </w:rPr>
    </w:lvl>
    <w:lvl w:ilvl="5" w:tentative="0">
      <w:start w:val="1"/>
      <w:numFmt w:val="decimal"/>
      <w:lvlText w:val="%1.%2.%3.%4.%5.%6"/>
      <w:lvlJc w:val="left"/>
      <w:pPr>
        <w:ind w:left="1470" w:hanging="1440"/>
      </w:pPr>
      <w:rPr>
        <w:rFonts w:hint="default"/>
      </w:rPr>
    </w:lvl>
    <w:lvl w:ilvl="6" w:tentative="0">
      <w:start w:val="1"/>
      <w:numFmt w:val="decimal"/>
      <w:lvlText w:val="%1.%2.%3.%4.%5.%6.%7"/>
      <w:lvlJc w:val="left"/>
      <w:pPr>
        <w:ind w:left="1476" w:hanging="1440"/>
      </w:pPr>
      <w:rPr>
        <w:rFonts w:hint="default"/>
      </w:rPr>
    </w:lvl>
    <w:lvl w:ilvl="7" w:tentative="0">
      <w:start w:val="1"/>
      <w:numFmt w:val="decimal"/>
      <w:lvlText w:val="%1.%2.%3.%4.%5.%6.%7.%8"/>
      <w:lvlJc w:val="left"/>
      <w:pPr>
        <w:ind w:left="1842" w:hanging="1800"/>
      </w:pPr>
      <w:rPr>
        <w:rFonts w:hint="default"/>
      </w:rPr>
    </w:lvl>
    <w:lvl w:ilvl="8" w:tentative="0">
      <w:start w:val="1"/>
      <w:numFmt w:val="decimal"/>
      <w:lvlText w:val="%1.%2.%3.%4.%5.%6.%7.%8.%9"/>
      <w:lvlJc w:val="left"/>
      <w:pPr>
        <w:ind w:left="1848" w:hanging="1800"/>
      </w:pPr>
      <w:rPr>
        <w:rFonts w:hint="default"/>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5">
    <w:nsid w:val="7883097A"/>
    <w:multiLevelType w:val="multilevel"/>
    <w:tmpl w:val="7883097A"/>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0"/>
  </w:num>
  <w:num w:numId="8">
    <w:abstractNumId w:val="7"/>
  </w:num>
  <w:num w:numId="9">
    <w:abstractNumId w:val="1"/>
  </w:num>
  <w:num w:numId="10">
    <w:abstractNumId w:val="11"/>
  </w:num>
  <w:num w:numId="11">
    <w:abstractNumId w:val="15"/>
  </w:num>
  <w:num w:numId="12">
    <w:abstractNumId w:val="0"/>
  </w:num>
  <w:num w:numId="13">
    <w:abstractNumId w:val="12"/>
  </w:num>
  <w:num w:numId="14">
    <w:abstractNumId w:val="13"/>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DY4NzhlMDZiOTEwZThjOGMwNTU1ZWRiYmI5YmI3YTkifQ=="/>
    <w:docVar w:name="VTCASE" w:val="4"/>
    <w:docVar w:name="VTCommandPending" w:val="NONE"/>
  </w:docVars>
  <w:rsids>
    <w:rsidRoot w:val="00172A27"/>
    <w:rsid w:val="00000277"/>
    <w:rsid w:val="000002C4"/>
    <w:rsid w:val="00000368"/>
    <w:rsid w:val="00000432"/>
    <w:rsid w:val="00000448"/>
    <w:rsid w:val="00000905"/>
    <w:rsid w:val="00000CCE"/>
    <w:rsid w:val="00000DF5"/>
    <w:rsid w:val="00000E1A"/>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DA9"/>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66"/>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D5"/>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3E25"/>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028"/>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692"/>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018"/>
    <w:rsid w:val="00036158"/>
    <w:rsid w:val="00036235"/>
    <w:rsid w:val="0003628C"/>
    <w:rsid w:val="00036301"/>
    <w:rsid w:val="000363BC"/>
    <w:rsid w:val="00036500"/>
    <w:rsid w:val="000366A5"/>
    <w:rsid w:val="0003683A"/>
    <w:rsid w:val="000368D6"/>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66"/>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6E2"/>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373"/>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E2E"/>
    <w:rsid w:val="000630BA"/>
    <w:rsid w:val="0006314D"/>
    <w:rsid w:val="0006336F"/>
    <w:rsid w:val="000633D6"/>
    <w:rsid w:val="000634A5"/>
    <w:rsid w:val="00063AB9"/>
    <w:rsid w:val="00063CA3"/>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347"/>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F86"/>
    <w:rsid w:val="00074113"/>
    <w:rsid w:val="00074147"/>
    <w:rsid w:val="00074252"/>
    <w:rsid w:val="0007464A"/>
    <w:rsid w:val="00074780"/>
    <w:rsid w:val="00074786"/>
    <w:rsid w:val="00074C07"/>
    <w:rsid w:val="00074C28"/>
    <w:rsid w:val="000752FF"/>
    <w:rsid w:val="000756AC"/>
    <w:rsid w:val="00075879"/>
    <w:rsid w:val="00075941"/>
    <w:rsid w:val="00075AFF"/>
    <w:rsid w:val="00075BC6"/>
    <w:rsid w:val="00075C77"/>
    <w:rsid w:val="0007602E"/>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1F8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CC"/>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EAA"/>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978"/>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7F"/>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C1"/>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0DD"/>
    <w:rsid w:val="001226E3"/>
    <w:rsid w:val="0012282D"/>
    <w:rsid w:val="001229F8"/>
    <w:rsid w:val="00122A53"/>
    <w:rsid w:val="00122A5B"/>
    <w:rsid w:val="00122CEC"/>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38"/>
    <w:rsid w:val="00135E44"/>
    <w:rsid w:val="0013606C"/>
    <w:rsid w:val="001361CD"/>
    <w:rsid w:val="001361D6"/>
    <w:rsid w:val="0013624E"/>
    <w:rsid w:val="001363BC"/>
    <w:rsid w:val="0013654A"/>
    <w:rsid w:val="001371D4"/>
    <w:rsid w:val="001371DC"/>
    <w:rsid w:val="00137865"/>
    <w:rsid w:val="001379B7"/>
    <w:rsid w:val="00137A98"/>
    <w:rsid w:val="00137DD9"/>
    <w:rsid w:val="00137F03"/>
    <w:rsid w:val="001400A0"/>
    <w:rsid w:val="001404E9"/>
    <w:rsid w:val="00140656"/>
    <w:rsid w:val="00140C98"/>
    <w:rsid w:val="00140CC4"/>
    <w:rsid w:val="00140E02"/>
    <w:rsid w:val="00141657"/>
    <w:rsid w:val="001416C8"/>
    <w:rsid w:val="00141A27"/>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A7F"/>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602"/>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7CB"/>
    <w:rsid w:val="00175843"/>
    <w:rsid w:val="001759C5"/>
    <w:rsid w:val="00175A31"/>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B5"/>
    <w:rsid w:val="00182348"/>
    <w:rsid w:val="00182464"/>
    <w:rsid w:val="001824BE"/>
    <w:rsid w:val="001826C3"/>
    <w:rsid w:val="001829EB"/>
    <w:rsid w:val="00182B9F"/>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03"/>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6F2C"/>
    <w:rsid w:val="001971A4"/>
    <w:rsid w:val="0019751C"/>
    <w:rsid w:val="00197AD9"/>
    <w:rsid w:val="00197DB5"/>
    <w:rsid w:val="00197F02"/>
    <w:rsid w:val="00197F40"/>
    <w:rsid w:val="001A0090"/>
    <w:rsid w:val="001A022D"/>
    <w:rsid w:val="001A0286"/>
    <w:rsid w:val="001A0373"/>
    <w:rsid w:val="001A04AA"/>
    <w:rsid w:val="001A06F8"/>
    <w:rsid w:val="001A087A"/>
    <w:rsid w:val="001A0A32"/>
    <w:rsid w:val="001A0D06"/>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D94"/>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1D5"/>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7C2"/>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97E"/>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350"/>
    <w:rsid w:val="001E280C"/>
    <w:rsid w:val="001E2D70"/>
    <w:rsid w:val="001E306C"/>
    <w:rsid w:val="001E3228"/>
    <w:rsid w:val="001E3354"/>
    <w:rsid w:val="001E34AA"/>
    <w:rsid w:val="001E34EF"/>
    <w:rsid w:val="001E3638"/>
    <w:rsid w:val="001E3764"/>
    <w:rsid w:val="001E381D"/>
    <w:rsid w:val="001E3875"/>
    <w:rsid w:val="001E38AB"/>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0E86"/>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77D"/>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C02"/>
    <w:rsid w:val="001F7D75"/>
    <w:rsid w:val="001F7E2B"/>
    <w:rsid w:val="0020047F"/>
    <w:rsid w:val="0020059F"/>
    <w:rsid w:val="002005BB"/>
    <w:rsid w:val="00200896"/>
    <w:rsid w:val="002008C8"/>
    <w:rsid w:val="00200FFD"/>
    <w:rsid w:val="00201195"/>
    <w:rsid w:val="002013FB"/>
    <w:rsid w:val="0020150D"/>
    <w:rsid w:val="00201870"/>
    <w:rsid w:val="002018F3"/>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6FBF"/>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876"/>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9E7"/>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FB"/>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364"/>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B9C"/>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DDC"/>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0D8"/>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7E"/>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0"/>
    <w:rsid w:val="002C5A4C"/>
    <w:rsid w:val="002C5D7C"/>
    <w:rsid w:val="002C5DAD"/>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CF8"/>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66"/>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101"/>
    <w:rsid w:val="00317263"/>
    <w:rsid w:val="00317339"/>
    <w:rsid w:val="00317343"/>
    <w:rsid w:val="0031737A"/>
    <w:rsid w:val="00317642"/>
    <w:rsid w:val="00317C3A"/>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9F8"/>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F6"/>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1F65"/>
    <w:rsid w:val="003421D1"/>
    <w:rsid w:val="0034225D"/>
    <w:rsid w:val="003422FA"/>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AB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4DD"/>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C78"/>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3DA"/>
    <w:rsid w:val="0036658D"/>
    <w:rsid w:val="00366A6D"/>
    <w:rsid w:val="00366CB0"/>
    <w:rsid w:val="00366DAA"/>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4C6"/>
    <w:rsid w:val="0038556B"/>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394"/>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3C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3A"/>
    <w:rsid w:val="003A55F8"/>
    <w:rsid w:val="003A562F"/>
    <w:rsid w:val="003A5788"/>
    <w:rsid w:val="003A5964"/>
    <w:rsid w:val="003A5BCD"/>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C60"/>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04D"/>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A9A"/>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C36"/>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495"/>
    <w:rsid w:val="003E051D"/>
    <w:rsid w:val="003E05FE"/>
    <w:rsid w:val="003E063B"/>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E7CCF"/>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3F1"/>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2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B7"/>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4FF"/>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E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C6C"/>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117"/>
    <w:rsid w:val="0044440B"/>
    <w:rsid w:val="0044472F"/>
    <w:rsid w:val="00444783"/>
    <w:rsid w:val="00444C59"/>
    <w:rsid w:val="00444ED1"/>
    <w:rsid w:val="00444FC6"/>
    <w:rsid w:val="0044506C"/>
    <w:rsid w:val="00445422"/>
    <w:rsid w:val="00445540"/>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1F"/>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C3D"/>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22"/>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1A"/>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D8E"/>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76B"/>
    <w:rsid w:val="004A2810"/>
    <w:rsid w:val="004A2945"/>
    <w:rsid w:val="004A2C49"/>
    <w:rsid w:val="004A30E8"/>
    <w:rsid w:val="004A3321"/>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C7EEE"/>
    <w:rsid w:val="004D036F"/>
    <w:rsid w:val="004D03CC"/>
    <w:rsid w:val="004D053C"/>
    <w:rsid w:val="004D05FF"/>
    <w:rsid w:val="004D074C"/>
    <w:rsid w:val="004D0872"/>
    <w:rsid w:val="004D0CF5"/>
    <w:rsid w:val="004D0E23"/>
    <w:rsid w:val="004D0E72"/>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34"/>
    <w:rsid w:val="004F0F71"/>
    <w:rsid w:val="004F0FD2"/>
    <w:rsid w:val="004F104B"/>
    <w:rsid w:val="004F1073"/>
    <w:rsid w:val="004F128F"/>
    <w:rsid w:val="004F1420"/>
    <w:rsid w:val="004F15DE"/>
    <w:rsid w:val="004F167F"/>
    <w:rsid w:val="004F1A6A"/>
    <w:rsid w:val="004F1DDB"/>
    <w:rsid w:val="004F1F4D"/>
    <w:rsid w:val="004F2217"/>
    <w:rsid w:val="004F22E1"/>
    <w:rsid w:val="004F2607"/>
    <w:rsid w:val="004F26DA"/>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2F"/>
    <w:rsid w:val="00512AB7"/>
    <w:rsid w:val="00512BB2"/>
    <w:rsid w:val="00512CC4"/>
    <w:rsid w:val="00512CDD"/>
    <w:rsid w:val="00512D5A"/>
    <w:rsid w:val="00512E71"/>
    <w:rsid w:val="00512F31"/>
    <w:rsid w:val="00512FD4"/>
    <w:rsid w:val="005130A0"/>
    <w:rsid w:val="005130CC"/>
    <w:rsid w:val="0051312A"/>
    <w:rsid w:val="005135BD"/>
    <w:rsid w:val="005135E5"/>
    <w:rsid w:val="005139BC"/>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19E"/>
    <w:rsid w:val="005242D1"/>
    <w:rsid w:val="005242D2"/>
    <w:rsid w:val="00524475"/>
    <w:rsid w:val="005244CF"/>
    <w:rsid w:val="005245EB"/>
    <w:rsid w:val="0052471D"/>
    <w:rsid w:val="00524A19"/>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14"/>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1A7"/>
    <w:rsid w:val="005446DB"/>
    <w:rsid w:val="0054492F"/>
    <w:rsid w:val="00544BD5"/>
    <w:rsid w:val="00545039"/>
    <w:rsid w:val="0054510E"/>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649"/>
    <w:rsid w:val="005577C4"/>
    <w:rsid w:val="00557D30"/>
    <w:rsid w:val="00560344"/>
    <w:rsid w:val="005603D9"/>
    <w:rsid w:val="00560420"/>
    <w:rsid w:val="0056044E"/>
    <w:rsid w:val="0056055F"/>
    <w:rsid w:val="005607CA"/>
    <w:rsid w:val="005608DB"/>
    <w:rsid w:val="00560CA5"/>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B4A"/>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638"/>
    <w:rsid w:val="00576715"/>
    <w:rsid w:val="00576BA6"/>
    <w:rsid w:val="00576CBE"/>
    <w:rsid w:val="00576F8C"/>
    <w:rsid w:val="00576F91"/>
    <w:rsid w:val="005770B2"/>
    <w:rsid w:val="00577375"/>
    <w:rsid w:val="00577379"/>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73A"/>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66D"/>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95"/>
    <w:rsid w:val="005C04CD"/>
    <w:rsid w:val="005C0C8D"/>
    <w:rsid w:val="005C0D6F"/>
    <w:rsid w:val="005C0E2C"/>
    <w:rsid w:val="005C11B0"/>
    <w:rsid w:val="005C129A"/>
    <w:rsid w:val="005C17B9"/>
    <w:rsid w:val="005C1913"/>
    <w:rsid w:val="005C1AAA"/>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374"/>
    <w:rsid w:val="005C4719"/>
    <w:rsid w:val="005C4A16"/>
    <w:rsid w:val="005C4A1A"/>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B6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32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1C4"/>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644"/>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0CF"/>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8E6"/>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57"/>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2E6"/>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77FA9"/>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743"/>
    <w:rsid w:val="006A492C"/>
    <w:rsid w:val="006A4ECD"/>
    <w:rsid w:val="006A50D4"/>
    <w:rsid w:val="006A50FD"/>
    <w:rsid w:val="006A560E"/>
    <w:rsid w:val="006A56AF"/>
    <w:rsid w:val="006A572F"/>
    <w:rsid w:val="006A59DB"/>
    <w:rsid w:val="006A5B57"/>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3EE"/>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4F4"/>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171"/>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0AB"/>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7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D81"/>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4EA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6D6"/>
    <w:rsid w:val="00713704"/>
    <w:rsid w:val="007137A2"/>
    <w:rsid w:val="00713962"/>
    <w:rsid w:val="0071398F"/>
    <w:rsid w:val="00713D24"/>
    <w:rsid w:val="00713DC1"/>
    <w:rsid w:val="00713DEE"/>
    <w:rsid w:val="0071410D"/>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709"/>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5E0"/>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B3E"/>
    <w:rsid w:val="00772F8D"/>
    <w:rsid w:val="007730B5"/>
    <w:rsid w:val="007733C7"/>
    <w:rsid w:val="007736AB"/>
    <w:rsid w:val="007738C3"/>
    <w:rsid w:val="00773A62"/>
    <w:rsid w:val="00773C34"/>
    <w:rsid w:val="00773C5D"/>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1FB"/>
    <w:rsid w:val="00777313"/>
    <w:rsid w:val="00777521"/>
    <w:rsid w:val="00777532"/>
    <w:rsid w:val="007777BD"/>
    <w:rsid w:val="0077780E"/>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6EC"/>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577"/>
    <w:rsid w:val="00790664"/>
    <w:rsid w:val="0079084B"/>
    <w:rsid w:val="0079092E"/>
    <w:rsid w:val="0079098E"/>
    <w:rsid w:val="00790A77"/>
    <w:rsid w:val="00790AE0"/>
    <w:rsid w:val="00790CC5"/>
    <w:rsid w:val="00790E54"/>
    <w:rsid w:val="00790EDE"/>
    <w:rsid w:val="00790FCA"/>
    <w:rsid w:val="00791637"/>
    <w:rsid w:val="007919CB"/>
    <w:rsid w:val="00791B18"/>
    <w:rsid w:val="00791C41"/>
    <w:rsid w:val="00791CCB"/>
    <w:rsid w:val="00791D9E"/>
    <w:rsid w:val="00791E00"/>
    <w:rsid w:val="0079278D"/>
    <w:rsid w:val="00792F1B"/>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4E"/>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4EC"/>
    <w:rsid w:val="007B590C"/>
    <w:rsid w:val="007B598C"/>
    <w:rsid w:val="007B5DBD"/>
    <w:rsid w:val="007B623F"/>
    <w:rsid w:val="007B6302"/>
    <w:rsid w:val="007B635D"/>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3E3D"/>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2D4"/>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D5C"/>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7B"/>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1F90"/>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386"/>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C1E"/>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980"/>
    <w:rsid w:val="00830C2B"/>
    <w:rsid w:val="008311B5"/>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57"/>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AE1"/>
    <w:rsid w:val="00837C10"/>
    <w:rsid w:val="00837C21"/>
    <w:rsid w:val="00837CFE"/>
    <w:rsid w:val="00837E80"/>
    <w:rsid w:val="00837E91"/>
    <w:rsid w:val="00837E9E"/>
    <w:rsid w:val="00840041"/>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C9"/>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938"/>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9E"/>
    <w:rsid w:val="00875E63"/>
    <w:rsid w:val="00875ED9"/>
    <w:rsid w:val="00875EEA"/>
    <w:rsid w:val="00875F15"/>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0ED"/>
    <w:rsid w:val="00896127"/>
    <w:rsid w:val="00896206"/>
    <w:rsid w:val="008968C2"/>
    <w:rsid w:val="00896BFE"/>
    <w:rsid w:val="00896C9E"/>
    <w:rsid w:val="00896D12"/>
    <w:rsid w:val="00896E74"/>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1C9"/>
    <w:rsid w:val="008C226E"/>
    <w:rsid w:val="008C228E"/>
    <w:rsid w:val="008C2431"/>
    <w:rsid w:val="008C245A"/>
    <w:rsid w:val="008C25BB"/>
    <w:rsid w:val="008C2847"/>
    <w:rsid w:val="008C29A0"/>
    <w:rsid w:val="008C2C38"/>
    <w:rsid w:val="008C2D87"/>
    <w:rsid w:val="008C2E0B"/>
    <w:rsid w:val="008C30E5"/>
    <w:rsid w:val="008C3214"/>
    <w:rsid w:val="008C35B3"/>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C7DA6"/>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19"/>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4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3F00"/>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60"/>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EF"/>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3BB"/>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ACF"/>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4D"/>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56B"/>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63"/>
    <w:rsid w:val="00964293"/>
    <w:rsid w:val="00964A43"/>
    <w:rsid w:val="00964C01"/>
    <w:rsid w:val="00964C79"/>
    <w:rsid w:val="00964CEF"/>
    <w:rsid w:val="00964D54"/>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B5D"/>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EC9"/>
    <w:rsid w:val="00975051"/>
    <w:rsid w:val="00975186"/>
    <w:rsid w:val="00975348"/>
    <w:rsid w:val="00975395"/>
    <w:rsid w:val="00975409"/>
    <w:rsid w:val="00975423"/>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80"/>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28C"/>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5D83"/>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EF"/>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45"/>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917"/>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154"/>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D9F"/>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AE1"/>
    <w:rsid w:val="009C2E42"/>
    <w:rsid w:val="009C32A3"/>
    <w:rsid w:val="009C3477"/>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5F3"/>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94"/>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2DA"/>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3F"/>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65"/>
    <w:rsid w:val="00A011A7"/>
    <w:rsid w:val="00A011FF"/>
    <w:rsid w:val="00A014CA"/>
    <w:rsid w:val="00A01659"/>
    <w:rsid w:val="00A01677"/>
    <w:rsid w:val="00A01809"/>
    <w:rsid w:val="00A01964"/>
    <w:rsid w:val="00A01AA4"/>
    <w:rsid w:val="00A01AD0"/>
    <w:rsid w:val="00A01B59"/>
    <w:rsid w:val="00A01C10"/>
    <w:rsid w:val="00A01C8C"/>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5E28"/>
    <w:rsid w:val="00A060B4"/>
    <w:rsid w:val="00A060EB"/>
    <w:rsid w:val="00A0636B"/>
    <w:rsid w:val="00A06CF7"/>
    <w:rsid w:val="00A06D47"/>
    <w:rsid w:val="00A06E6F"/>
    <w:rsid w:val="00A070DD"/>
    <w:rsid w:val="00A07365"/>
    <w:rsid w:val="00A07514"/>
    <w:rsid w:val="00A07558"/>
    <w:rsid w:val="00A078AB"/>
    <w:rsid w:val="00A07BE6"/>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CDC"/>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071"/>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091"/>
    <w:rsid w:val="00A4243C"/>
    <w:rsid w:val="00A42485"/>
    <w:rsid w:val="00A42623"/>
    <w:rsid w:val="00A429E7"/>
    <w:rsid w:val="00A42A55"/>
    <w:rsid w:val="00A42C3B"/>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8E"/>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68D"/>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56A"/>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8E"/>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99B"/>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0B"/>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DE0"/>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C9E"/>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726"/>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AF8"/>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EC9"/>
    <w:rsid w:val="00B00F03"/>
    <w:rsid w:val="00B012CC"/>
    <w:rsid w:val="00B0177D"/>
    <w:rsid w:val="00B01887"/>
    <w:rsid w:val="00B019D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63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B47"/>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0A"/>
    <w:rsid w:val="00B2274E"/>
    <w:rsid w:val="00B227C5"/>
    <w:rsid w:val="00B22801"/>
    <w:rsid w:val="00B22829"/>
    <w:rsid w:val="00B22AC3"/>
    <w:rsid w:val="00B22C26"/>
    <w:rsid w:val="00B22FC1"/>
    <w:rsid w:val="00B230D5"/>
    <w:rsid w:val="00B231F7"/>
    <w:rsid w:val="00B237D0"/>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257"/>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2E"/>
    <w:rsid w:val="00B42163"/>
    <w:rsid w:val="00B42231"/>
    <w:rsid w:val="00B42562"/>
    <w:rsid w:val="00B4264F"/>
    <w:rsid w:val="00B42975"/>
    <w:rsid w:val="00B42ADD"/>
    <w:rsid w:val="00B43099"/>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0EAB"/>
    <w:rsid w:val="00B5149E"/>
    <w:rsid w:val="00B5152F"/>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84"/>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80C"/>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8"/>
    <w:rsid w:val="00B63CBC"/>
    <w:rsid w:val="00B63E94"/>
    <w:rsid w:val="00B63F7D"/>
    <w:rsid w:val="00B6437B"/>
    <w:rsid w:val="00B644CF"/>
    <w:rsid w:val="00B645A6"/>
    <w:rsid w:val="00B64B7E"/>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9A7"/>
    <w:rsid w:val="00B67DD3"/>
    <w:rsid w:val="00B67FAD"/>
    <w:rsid w:val="00B7022A"/>
    <w:rsid w:val="00B7048E"/>
    <w:rsid w:val="00B705FC"/>
    <w:rsid w:val="00B70771"/>
    <w:rsid w:val="00B709B3"/>
    <w:rsid w:val="00B71188"/>
    <w:rsid w:val="00B71267"/>
    <w:rsid w:val="00B714AC"/>
    <w:rsid w:val="00B7153E"/>
    <w:rsid w:val="00B716A9"/>
    <w:rsid w:val="00B71881"/>
    <w:rsid w:val="00B719E2"/>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DD3"/>
    <w:rsid w:val="00B90E70"/>
    <w:rsid w:val="00B90F66"/>
    <w:rsid w:val="00B90FC6"/>
    <w:rsid w:val="00B912AA"/>
    <w:rsid w:val="00B91520"/>
    <w:rsid w:val="00B91565"/>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038"/>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BDA"/>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190"/>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4D"/>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2E09"/>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86B"/>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0B9"/>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DCE"/>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61"/>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D1F"/>
    <w:rsid w:val="00C04E20"/>
    <w:rsid w:val="00C04E95"/>
    <w:rsid w:val="00C051D9"/>
    <w:rsid w:val="00C0525D"/>
    <w:rsid w:val="00C0558B"/>
    <w:rsid w:val="00C05613"/>
    <w:rsid w:val="00C057EE"/>
    <w:rsid w:val="00C058CC"/>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AEB"/>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AD4"/>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48"/>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CB"/>
    <w:rsid w:val="00C75CE8"/>
    <w:rsid w:val="00C7614A"/>
    <w:rsid w:val="00C761D5"/>
    <w:rsid w:val="00C764D9"/>
    <w:rsid w:val="00C76646"/>
    <w:rsid w:val="00C766E7"/>
    <w:rsid w:val="00C7671C"/>
    <w:rsid w:val="00C76AE3"/>
    <w:rsid w:val="00C76E0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2FC3"/>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73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B0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4CA"/>
    <w:rsid w:val="00CC250B"/>
    <w:rsid w:val="00CC259B"/>
    <w:rsid w:val="00CC2701"/>
    <w:rsid w:val="00CC2A27"/>
    <w:rsid w:val="00CC2DC0"/>
    <w:rsid w:val="00CC2E12"/>
    <w:rsid w:val="00CC2E8A"/>
    <w:rsid w:val="00CC3237"/>
    <w:rsid w:val="00CC35A9"/>
    <w:rsid w:val="00CC36DC"/>
    <w:rsid w:val="00CC3B57"/>
    <w:rsid w:val="00CC3BE8"/>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261"/>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14"/>
    <w:rsid w:val="00CD52BE"/>
    <w:rsid w:val="00CD52E7"/>
    <w:rsid w:val="00CD5520"/>
    <w:rsid w:val="00CD5713"/>
    <w:rsid w:val="00CD5908"/>
    <w:rsid w:val="00CD5B99"/>
    <w:rsid w:val="00CD5C88"/>
    <w:rsid w:val="00CD5F49"/>
    <w:rsid w:val="00CD607D"/>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2C9"/>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024"/>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292"/>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7DB"/>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015"/>
    <w:rsid w:val="00D32202"/>
    <w:rsid w:val="00D323F7"/>
    <w:rsid w:val="00D32609"/>
    <w:rsid w:val="00D326E7"/>
    <w:rsid w:val="00D328D7"/>
    <w:rsid w:val="00D3316C"/>
    <w:rsid w:val="00D332B5"/>
    <w:rsid w:val="00D33541"/>
    <w:rsid w:val="00D33841"/>
    <w:rsid w:val="00D339C0"/>
    <w:rsid w:val="00D33A04"/>
    <w:rsid w:val="00D33C96"/>
    <w:rsid w:val="00D33D4C"/>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709"/>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EF"/>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C80"/>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3F"/>
    <w:rsid w:val="00D750F8"/>
    <w:rsid w:val="00D75177"/>
    <w:rsid w:val="00D7528F"/>
    <w:rsid w:val="00D752E8"/>
    <w:rsid w:val="00D75304"/>
    <w:rsid w:val="00D7567A"/>
    <w:rsid w:val="00D75909"/>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DB2"/>
    <w:rsid w:val="00D841A8"/>
    <w:rsid w:val="00D84252"/>
    <w:rsid w:val="00D8469F"/>
    <w:rsid w:val="00D846E7"/>
    <w:rsid w:val="00D8485A"/>
    <w:rsid w:val="00D84AB7"/>
    <w:rsid w:val="00D84CF0"/>
    <w:rsid w:val="00D84D6A"/>
    <w:rsid w:val="00D84DD6"/>
    <w:rsid w:val="00D8533B"/>
    <w:rsid w:val="00D855CF"/>
    <w:rsid w:val="00D85942"/>
    <w:rsid w:val="00D85B6D"/>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5E3D"/>
    <w:rsid w:val="00D96183"/>
    <w:rsid w:val="00D9618C"/>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7A7"/>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B6"/>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0E59"/>
    <w:rsid w:val="00DC11E0"/>
    <w:rsid w:val="00DC130E"/>
    <w:rsid w:val="00DC134C"/>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896"/>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4D"/>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4D"/>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BA0"/>
    <w:rsid w:val="00DF1CEE"/>
    <w:rsid w:val="00DF1EBE"/>
    <w:rsid w:val="00DF20E5"/>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88"/>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4B63"/>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9C6"/>
    <w:rsid w:val="00E14C91"/>
    <w:rsid w:val="00E1562D"/>
    <w:rsid w:val="00E1598D"/>
    <w:rsid w:val="00E159AC"/>
    <w:rsid w:val="00E159E8"/>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06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429"/>
    <w:rsid w:val="00E326A7"/>
    <w:rsid w:val="00E3275F"/>
    <w:rsid w:val="00E3279C"/>
    <w:rsid w:val="00E327F0"/>
    <w:rsid w:val="00E3281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8CE"/>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9E2"/>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5CF"/>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A0"/>
    <w:rsid w:val="00E949DB"/>
    <w:rsid w:val="00E94AF7"/>
    <w:rsid w:val="00E95685"/>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694"/>
    <w:rsid w:val="00EA2A3E"/>
    <w:rsid w:val="00EA2B7F"/>
    <w:rsid w:val="00EA2F8C"/>
    <w:rsid w:val="00EA3110"/>
    <w:rsid w:val="00EA32C4"/>
    <w:rsid w:val="00EA342F"/>
    <w:rsid w:val="00EA3D1F"/>
    <w:rsid w:val="00EA40E5"/>
    <w:rsid w:val="00EA45BC"/>
    <w:rsid w:val="00EA4838"/>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04"/>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7AB"/>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BC"/>
    <w:rsid w:val="00EC67F3"/>
    <w:rsid w:val="00EC696F"/>
    <w:rsid w:val="00EC6B90"/>
    <w:rsid w:val="00EC6BF8"/>
    <w:rsid w:val="00EC6C3E"/>
    <w:rsid w:val="00EC6D9D"/>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7B2"/>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7C7"/>
    <w:rsid w:val="00EE18CA"/>
    <w:rsid w:val="00EE1AB9"/>
    <w:rsid w:val="00EE1D80"/>
    <w:rsid w:val="00EE1E0C"/>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725"/>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CC8"/>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26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5D11"/>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FB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59"/>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4F2A"/>
    <w:rsid w:val="00F8539A"/>
    <w:rsid w:val="00F85514"/>
    <w:rsid w:val="00F8574D"/>
    <w:rsid w:val="00F85DC9"/>
    <w:rsid w:val="00F85F1E"/>
    <w:rsid w:val="00F85FED"/>
    <w:rsid w:val="00F860AE"/>
    <w:rsid w:val="00F861F4"/>
    <w:rsid w:val="00F8627F"/>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02"/>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21"/>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B05"/>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B7D5D"/>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8AB"/>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7F9"/>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8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BFC"/>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781"/>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0FF7EC3"/>
    <w:rsid w:val="015C1F1D"/>
    <w:rsid w:val="01E50CD4"/>
    <w:rsid w:val="01F676FE"/>
    <w:rsid w:val="021961D5"/>
    <w:rsid w:val="02DB3BAC"/>
    <w:rsid w:val="039B4674"/>
    <w:rsid w:val="03CF1D81"/>
    <w:rsid w:val="03D54514"/>
    <w:rsid w:val="04E76A39"/>
    <w:rsid w:val="05046312"/>
    <w:rsid w:val="050B015A"/>
    <w:rsid w:val="06B15458"/>
    <w:rsid w:val="06B36054"/>
    <w:rsid w:val="086F2D5A"/>
    <w:rsid w:val="08E95A46"/>
    <w:rsid w:val="08F64DC1"/>
    <w:rsid w:val="0ACB4F8A"/>
    <w:rsid w:val="0B660C1A"/>
    <w:rsid w:val="0C111AB4"/>
    <w:rsid w:val="0C260F5E"/>
    <w:rsid w:val="0C744089"/>
    <w:rsid w:val="0D7511DD"/>
    <w:rsid w:val="0EA43C9D"/>
    <w:rsid w:val="108D4A90"/>
    <w:rsid w:val="10C469AA"/>
    <w:rsid w:val="1218482D"/>
    <w:rsid w:val="12C25655"/>
    <w:rsid w:val="14546E73"/>
    <w:rsid w:val="147B3A1F"/>
    <w:rsid w:val="14A805EB"/>
    <w:rsid w:val="16E757FC"/>
    <w:rsid w:val="17F93E0B"/>
    <w:rsid w:val="18CF371B"/>
    <w:rsid w:val="19C51253"/>
    <w:rsid w:val="19D011E4"/>
    <w:rsid w:val="1A3F2538"/>
    <w:rsid w:val="1AE14356"/>
    <w:rsid w:val="1C455CA5"/>
    <w:rsid w:val="1C67088B"/>
    <w:rsid w:val="1CF25113"/>
    <w:rsid w:val="1D1400E0"/>
    <w:rsid w:val="1D2C69D2"/>
    <w:rsid w:val="1F02073C"/>
    <w:rsid w:val="1FC63C3B"/>
    <w:rsid w:val="200603BB"/>
    <w:rsid w:val="2006452E"/>
    <w:rsid w:val="20582725"/>
    <w:rsid w:val="21654BDE"/>
    <w:rsid w:val="21BF509F"/>
    <w:rsid w:val="220A23E4"/>
    <w:rsid w:val="2249746C"/>
    <w:rsid w:val="23923363"/>
    <w:rsid w:val="239E00B4"/>
    <w:rsid w:val="23E64310"/>
    <w:rsid w:val="24150AFD"/>
    <w:rsid w:val="245078F0"/>
    <w:rsid w:val="251E74A4"/>
    <w:rsid w:val="26555BF8"/>
    <w:rsid w:val="26963E40"/>
    <w:rsid w:val="26CA27B2"/>
    <w:rsid w:val="26F50752"/>
    <w:rsid w:val="270B2E3E"/>
    <w:rsid w:val="27843CE5"/>
    <w:rsid w:val="27C13545"/>
    <w:rsid w:val="289458C7"/>
    <w:rsid w:val="28D7264B"/>
    <w:rsid w:val="28F32B26"/>
    <w:rsid w:val="29957F18"/>
    <w:rsid w:val="2B564267"/>
    <w:rsid w:val="2E39347F"/>
    <w:rsid w:val="2F983E1B"/>
    <w:rsid w:val="2FAF3CE7"/>
    <w:rsid w:val="2FCA7487"/>
    <w:rsid w:val="315A6669"/>
    <w:rsid w:val="32127A3F"/>
    <w:rsid w:val="32923F98"/>
    <w:rsid w:val="32CD6EEC"/>
    <w:rsid w:val="32EB653A"/>
    <w:rsid w:val="3403387D"/>
    <w:rsid w:val="34E546E9"/>
    <w:rsid w:val="37721B96"/>
    <w:rsid w:val="37B55E99"/>
    <w:rsid w:val="3BCB6780"/>
    <w:rsid w:val="3C5F238F"/>
    <w:rsid w:val="3C9B4A65"/>
    <w:rsid w:val="3DF140B8"/>
    <w:rsid w:val="3E091E23"/>
    <w:rsid w:val="3EA515C9"/>
    <w:rsid w:val="3F91350E"/>
    <w:rsid w:val="404E15B7"/>
    <w:rsid w:val="41C0641A"/>
    <w:rsid w:val="41EE565D"/>
    <w:rsid w:val="429D124A"/>
    <w:rsid w:val="42CD0A98"/>
    <w:rsid w:val="42F44377"/>
    <w:rsid w:val="431A0C09"/>
    <w:rsid w:val="451A46E7"/>
    <w:rsid w:val="480E2158"/>
    <w:rsid w:val="48FB5623"/>
    <w:rsid w:val="4A15577F"/>
    <w:rsid w:val="4B5A4840"/>
    <w:rsid w:val="4B65373A"/>
    <w:rsid w:val="4B977429"/>
    <w:rsid w:val="4C4D4AF8"/>
    <w:rsid w:val="4C910630"/>
    <w:rsid w:val="4CE23492"/>
    <w:rsid w:val="4D00163A"/>
    <w:rsid w:val="4D231458"/>
    <w:rsid w:val="4DEB53B0"/>
    <w:rsid w:val="4E33358C"/>
    <w:rsid w:val="4F0F5BE3"/>
    <w:rsid w:val="4F2A164C"/>
    <w:rsid w:val="4F4C553B"/>
    <w:rsid w:val="4F627D30"/>
    <w:rsid w:val="4FBB05BD"/>
    <w:rsid w:val="50245B70"/>
    <w:rsid w:val="503827BA"/>
    <w:rsid w:val="51502341"/>
    <w:rsid w:val="521C11F4"/>
    <w:rsid w:val="52410C5B"/>
    <w:rsid w:val="52422029"/>
    <w:rsid w:val="52CC40DE"/>
    <w:rsid w:val="5300401A"/>
    <w:rsid w:val="542115D5"/>
    <w:rsid w:val="55040901"/>
    <w:rsid w:val="55E80D0A"/>
    <w:rsid w:val="5643722D"/>
    <w:rsid w:val="5654355E"/>
    <w:rsid w:val="565F7902"/>
    <w:rsid w:val="56DF05DE"/>
    <w:rsid w:val="56F70118"/>
    <w:rsid w:val="57FC6189"/>
    <w:rsid w:val="59116B65"/>
    <w:rsid w:val="595B6AA6"/>
    <w:rsid w:val="5B69102B"/>
    <w:rsid w:val="5D7944DC"/>
    <w:rsid w:val="5E193A9C"/>
    <w:rsid w:val="5E2B5FA2"/>
    <w:rsid w:val="5E4E2182"/>
    <w:rsid w:val="5EC7698C"/>
    <w:rsid w:val="5F073306"/>
    <w:rsid w:val="5F5F73B9"/>
    <w:rsid w:val="6327439D"/>
    <w:rsid w:val="642C622B"/>
    <w:rsid w:val="65321667"/>
    <w:rsid w:val="65D67696"/>
    <w:rsid w:val="66FC119E"/>
    <w:rsid w:val="6838144E"/>
    <w:rsid w:val="6853399D"/>
    <w:rsid w:val="68AA7398"/>
    <w:rsid w:val="694903B8"/>
    <w:rsid w:val="6A1B4952"/>
    <w:rsid w:val="6A325A85"/>
    <w:rsid w:val="6E7D2524"/>
    <w:rsid w:val="6F97D24A"/>
    <w:rsid w:val="7062381E"/>
    <w:rsid w:val="707B2F14"/>
    <w:rsid w:val="716C1CE5"/>
    <w:rsid w:val="71E909FE"/>
    <w:rsid w:val="728959E5"/>
    <w:rsid w:val="72D11816"/>
    <w:rsid w:val="73295C52"/>
    <w:rsid w:val="742C597A"/>
    <w:rsid w:val="74BF53EA"/>
    <w:rsid w:val="74EE0377"/>
    <w:rsid w:val="752D2C5E"/>
    <w:rsid w:val="75395CBA"/>
    <w:rsid w:val="767C665B"/>
    <w:rsid w:val="768914CC"/>
    <w:rsid w:val="77575522"/>
    <w:rsid w:val="77A56AD2"/>
    <w:rsid w:val="77AA766B"/>
    <w:rsid w:val="78B418D7"/>
    <w:rsid w:val="79444E26"/>
    <w:rsid w:val="7A2F22B2"/>
    <w:rsid w:val="7BC506FF"/>
    <w:rsid w:val="7BD438AB"/>
    <w:rsid w:val="7CB50DA1"/>
    <w:rsid w:val="7D5661EE"/>
    <w:rsid w:val="7EA53C58"/>
    <w:rsid w:val="7EFD4DC3"/>
    <w:rsid w:val="7F1E197E"/>
    <w:rsid w:val="7F5301DE"/>
    <w:rsid w:val="7F97D7F2"/>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5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8"/>
    <w:link w:val="5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9">
    <w:name w:val="heading 4"/>
    <w:basedOn w:val="1"/>
    <w:next w:val="1"/>
    <w:link w:val="55"/>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10">
    <w:name w:val="heading 5"/>
    <w:basedOn w:val="1"/>
    <w:next w:val="1"/>
    <w:link w:val="56"/>
    <w:qFormat/>
    <w:uiPriority w:val="0"/>
    <w:pPr>
      <w:keepNext/>
      <w:keepLines/>
      <w:adjustRightInd w:val="0"/>
      <w:spacing w:before="280" w:after="290" w:line="376" w:lineRule="atLeast"/>
      <w:textAlignment w:val="baseline"/>
      <w:outlineLvl w:val="4"/>
    </w:pPr>
    <w:rPr>
      <w:b/>
      <w:kern w:val="0"/>
      <w:sz w:val="28"/>
      <w:szCs w:val="20"/>
    </w:rPr>
  </w:style>
  <w:style w:type="paragraph" w:styleId="11">
    <w:name w:val="heading 6"/>
    <w:basedOn w:val="1"/>
    <w:next w:val="1"/>
    <w:link w:val="57"/>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2">
    <w:name w:val="heading 7"/>
    <w:basedOn w:val="1"/>
    <w:next w:val="1"/>
    <w:link w:val="58"/>
    <w:qFormat/>
    <w:uiPriority w:val="0"/>
    <w:pPr>
      <w:keepNext/>
      <w:keepLines/>
      <w:adjustRightInd w:val="0"/>
      <w:spacing w:before="240" w:after="64" w:line="320" w:lineRule="atLeast"/>
      <w:textAlignment w:val="baseline"/>
      <w:outlineLvl w:val="6"/>
    </w:pPr>
    <w:rPr>
      <w:b/>
      <w:kern w:val="0"/>
      <w:sz w:val="24"/>
      <w:szCs w:val="20"/>
    </w:rPr>
  </w:style>
  <w:style w:type="paragraph" w:styleId="13">
    <w:name w:val="heading 8"/>
    <w:basedOn w:val="1"/>
    <w:next w:val="1"/>
    <w:link w:val="59"/>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4">
    <w:name w:val="heading 9"/>
    <w:basedOn w:val="1"/>
    <w:next w:val="1"/>
    <w:link w:val="60"/>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3">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tabs>
        <w:tab w:val="left" w:pos="567"/>
      </w:tabs>
      <w:spacing w:line="360" w:lineRule="auto"/>
      <w:ind w:firstLine="420"/>
    </w:pPr>
    <w:rPr>
      <w:szCs w:val="20"/>
    </w:rPr>
  </w:style>
  <w:style w:type="paragraph" w:styleId="3">
    <w:name w:val="Body Text"/>
    <w:basedOn w:val="1"/>
    <w:next w:val="2"/>
    <w:link w:val="65"/>
    <w:qFormat/>
    <w:uiPriority w:val="0"/>
    <w:pPr>
      <w:tabs>
        <w:tab w:val="left" w:pos="567"/>
      </w:tabs>
      <w:spacing w:before="120" w:line="22" w:lineRule="atLeast"/>
    </w:pPr>
    <w:rPr>
      <w:rFonts w:ascii="宋体" w:hAnsi="宋体"/>
      <w:sz w:val="24"/>
    </w:rPr>
  </w:style>
  <w:style w:type="paragraph" w:styleId="6">
    <w:name w:val="Normal Indent"/>
    <w:basedOn w:val="1"/>
    <w:link w:val="53"/>
    <w:qFormat/>
    <w:uiPriority w:val="99"/>
    <w:pPr>
      <w:autoSpaceDE w:val="0"/>
      <w:autoSpaceDN w:val="0"/>
      <w:adjustRightInd w:val="0"/>
      <w:ind w:firstLine="420"/>
      <w:jc w:val="left"/>
    </w:pPr>
    <w:rPr>
      <w:rFonts w:ascii="宋体"/>
      <w:sz w:val="24"/>
    </w:rPr>
  </w:style>
  <w:style w:type="paragraph" w:customStyle="1" w:styleId="8">
    <w:name w:val="正文缩进1"/>
    <w:basedOn w:val="1"/>
    <w:qFormat/>
    <w:uiPriority w:val="0"/>
    <w:pPr>
      <w:autoSpaceDE w:val="0"/>
      <w:autoSpaceDN w:val="0"/>
      <w:adjustRightInd w:val="0"/>
      <w:ind w:firstLine="420"/>
      <w:jc w:val="left"/>
    </w:pPr>
    <w:rPr>
      <w:rFonts w:ascii="宋体"/>
      <w:kern w:val="0"/>
      <w:sz w:val="24"/>
    </w:r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2"/>
    <w:qFormat/>
    <w:uiPriority w:val="0"/>
    <w:pPr>
      <w:shd w:val="clear" w:color="auto" w:fill="000080"/>
    </w:pPr>
  </w:style>
  <w:style w:type="paragraph" w:styleId="17">
    <w:name w:val="annotation text"/>
    <w:basedOn w:val="1"/>
    <w:link w:val="63"/>
    <w:qFormat/>
    <w:uiPriority w:val="99"/>
    <w:pPr>
      <w:jc w:val="left"/>
    </w:pPr>
  </w:style>
  <w:style w:type="paragraph" w:styleId="18">
    <w:name w:val="Body Text 3"/>
    <w:basedOn w:val="1"/>
    <w:link w:val="64"/>
    <w:qFormat/>
    <w:uiPriority w:val="0"/>
    <w:pPr>
      <w:spacing w:after="120"/>
    </w:pPr>
    <w:rPr>
      <w:sz w:val="16"/>
      <w:szCs w:val="16"/>
    </w:rPr>
  </w:style>
  <w:style w:type="paragraph" w:styleId="19">
    <w:name w:val="Body Text Indent"/>
    <w:basedOn w:val="1"/>
    <w:link w:val="66"/>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23">
    <w:name w:val="Plain Text"/>
    <w:basedOn w:val="1"/>
    <w:next w:val="1"/>
    <w:link w:val="69"/>
    <w:qFormat/>
    <w:uiPriority w:val="0"/>
    <w:rPr>
      <w:rFonts w:hint="eastAsia" w:ascii="宋体" w:hAnsi="Courier New"/>
      <w:szCs w:val="20"/>
    </w:rPr>
  </w:style>
  <w:style w:type="paragraph" w:styleId="24">
    <w:name w:val="Date"/>
    <w:basedOn w:val="1"/>
    <w:next w:val="1"/>
    <w:link w:val="71"/>
    <w:qFormat/>
    <w:uiPriority w:val="0"/>
    <w:pPr>
      <w:ind w:left="100" w:leftChars="2500"/>
    </w:pPr>
    <w:rPr>
      <w:rFonts w:ascii="仿宋_GB2312" w:hAnsi="宋体" w:eastAsia="仿宋_GB2312"/>
      <w:color w:val="000000"/>
      <w:sz w:val="24"/>
    </w:rPr>
  </w:style>
  <w:style w:type="paragraph" w:styleId="25">
    <w:name w:val="Body Text Indent 2"/>
    <w:basedOn w:val="1"/>
    <w:link w:val="72"/>
    <w:qFormat/>
    <w:uiPriority w:val="99"/>
    <w:pPr>
      <w:ind w:firstLine="480" w:firstLineChars="200"/>
    </w:pPr>
    <w:rPr>
      <w:rFonts w:ascii="仿宋_GB2312" w:eastAsia="仿宋_GB2312"/>
      <w:sz w:val="24"/>
    </w:rPr>
  </w:style>
  <w:style w:type="paragraph" w:styleId="26">
    <w:name w:val="Balloon Text"/>
    <w:basedOn w:val="1"/>
    <w:link w:val="73"/>
    <w:qFormat/>
    <w:uiPriority w:val="0"/>
    <w:rPr>
      <w:sz w:val="18"/>
      <w:szCs w:val="18"/>
    </w:rPr>
  </w:style>
  <w:style w:type="paragraph" w:styleId="27">
    <w:name w:val="footer"/>
    <w:basedOn w:val="1"/>
    <w:link w:val="7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8">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Body Text Indent 3"/>
    <w:basedOn w:val="1"/>
    <w:link w:val="79"/>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1">
    <w:name w:val="index 9"/>
    <w:basedOn w:val="1"/>
    <w:next w:val="1"/>
    <w:qFormat/>
    <w:uiPriority w:val="0"/>
    <w:pPr>
      <w:ind w:left="3360"/>
      <w:jc w:val="left"/>
    </w:pPr>
    <w:rPr>
      <w:szCs w:val="20"/>
    </w:rPr>
  </w:style>
  <w:style w:type="paragraph" w:styleId="3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33">
    <w:name w:val="Body Text 2"/>
    <w:basedOn w:val="1"/>
    <w:unhideWhenUsed/>
    <w:qFormat/>
    <w:uiPriority w:val="99"/>
    <w:pPr>
      <w:adjustRightInd w:val="0"/>
      <w:spacing w:after="120" w:line="480" w:lineRule="auto"/>
      <w:jc w:val="left"/>
      <w:textAlignment w:val="baseline"/>
    </w:pPr>
    <w:rPr>
      <w:rFonts w:ascii="Calibri" w:hAnsi="Calibri"/>
      <w:kern w:val="0"/>
      <w:sz w:val="24"/>
      <w:szCs w:val="22"/>
      <w:lang w:val="zh-CN"/>
    </w:rPr>
  </w:style>
  <w:style w:type="paragraph" w:styleId="34">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index 1"/>
    <w:basedOn w:val="1"/>
    <w:next w:val="1"/>
    <w:qFormat/>
    <w:uiPriority w:val="0"/>
    <w:rPr>
      <w:szCs w:val="20"/>
    </w:rPr>
  </w:style>
  <w:style w:type="paragraph" w:styleId="37">
    <w:name w:val="Title"/>
    <w:basedOn w:val="1"/>
    <w:link w:val="83"/>
    <w:qFormat/>
    <w:uiPriority w:val="0"/>
    <w:pPr>
      <w:jc w:val="center"/>
      <w:outlineLvl w:val="0"/>
    </w:pPr>
    <w:rPr>
      <w:b/>
      <w:sz w:val="32"/>
      <w:szCs w:val="20"/>
    </w:rPr>
  </w:style>
  <w:style w:type="paragraph" w:styleId="38">
    <w:name w:val="annotation subject"/>
    <w:basedOn w:val="17"/>
    <w:next w:val="17"/>
    <w:link w:val="84"/>
    <w:qFormat/>
    <w:uiPriority w:val="0"/>
    <w:rPr>
      <w:b/>
      <w:bCs/>
    </w:rPr>
  </w:style>
  <w:style w:type="paragraph" w:styleId="39">
    <w:name w:val="Body Text First Indent 2"/>
    <w:basedOn w:val="19"/>
    <w:next w:val="1"/>
    <w:unhideWhenUsed/>
    <w:qFormat/>
    <w:uiPriority w:val="99"/>
    <w:pPr>
      <w:spacing w:after="120" w:line="240" w:lineRule="auto"/>
      <w:ind w:left="420" w:leftChars="200" w:firstLine="200" w:firstLineChars="200"/>
    </w:pPr>
    <w:rPr>
      <w:sz w:val="21"/>
    </w:rPr>
  </w:style>
  <w:style w:type="table" w:styleId="41">
    <w:name w:val="Table Grid"/>
    <w:basedOn w:val="4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2">
    <w:name w:val="Medium Grid 1 Accent 2"/>
    <w:basedOn w:val="40"/>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4">
    <w:name w:val="Strong"/>
    <w:qFormat/>
    <w:uiPriority w:val="22"/>
    <w:rPr>
      <w:b/>
      <w:bCs/>
    </w:rPr>
  </w:style>
  <w:style w:type="character" w:styleId="45">
    <w:name w:val="page number"/>
    <w:qFormat/>
    <w:uiPriority w:val="0"/>
  </w:style>
  <w:style w:type="character" w:styleId="46">
    <w:name w:val="FollowedHyperlink"/>
    <w:qFormat/>
    <w:uiPriority w:val="0"/>
    <w:rPr>
      <w:color w:val="800080"/>
      <w:u w:val="single"/>
    </w:rPr>
  </w:style>
  <w:style w:type="character" w:styleId="47">
    <w:name w:val="Emphasis"/>
    <w:qFormat/>
    <w:uiPriority w:val="0"/>
    <w:rPr>
      <w:color w:val="CC0033"/>
    </w:rPr>
  </w:style>
  <w:style w:type="character" w:styleId="48">
    <w:name w:val="Hyperlink"/>
    <w:qFormat/>
    <w:uiPriority w:val="99"/>
    <w:rPr>
      <w:color w:val="0000FF"/>
      <w:u w:val="single"/>
    </w:rPr>
  </w:style>
  <w:style w:type="character" w:styleId="49">
    <w:name w:val="annotation reference"/>
    <w:basedOn w:val="43"/>
    <w:qFormat/>
    <w:uiPriority w:val="99"/>
    <w:rPr>
      <w:sz w:val="21"/>
      <w:szCs w:val="21"/>
    </w:rPr>
  </w:style>
  <w:style w:type="character" w:styleId="50">
    <w:name w:val="HTML Cite"/>
    <w:qFormat/>
    <w:uiPriority w:val="0"/>
    <w:rPr>
      <w:i/>
      <w:iCs/>
    </w:rPr>
  </w:style>
  <w:style w:type="character" w:customStyle="1" w:styleId="51">
    <w:name w:val="标题 1 字符1"/>
    <w:link w:val="4"/>
    <w:qFormat/>
    <w:uiPriority w:val="0"/>
    <w:rPr>
      <w:rFonts w:ascii="宋体"/>
      <w:b/>
      <w:kern w:val="44"/>
      <w:sz w:val="32"/>
    </w:rPr>
  </w:style>
  <w:style w:type="character" w:customStyle="1" w:styleId="52">
    <w:name w:val="标题 2 字符1"/>
    <w:link w:val="5"/>
    <w:qFormat/>
    <w:uiPriority w:val="0"/>
    <w:rPr>
      <w:rFonts w:ascii="Arial" w:hAnsi="Arial" w:eastAsia="黑体"/>
      <w:b/>
      <w:sz w:val="30"/>
      <w:lang w:val="en-US" w:eastAsia="zh-CN" w:bidi="ar-SA"/>
    </w:rPr>
  </w:style>
  <w:style w:type="character" w:customStyle="1" w:styleId="53">
    <w:name w:val="正文缩进 字符1"/>
    <w:link w:val="6"/>
    <w:qFormat/>
    <w:uiPriority w:val="0"/>
    <w:rPr>
      <w:rFonts w:ascii="宋体" w:eastAsia="宋体"/>
      <w:kern w:val="2"/>
      <w:sz w:val="24"/>
      <w:szCs w:val="24"/>
      <w:lang w:val="en-US" w:eastAsia="zh-CN" w:bidi="ar-SA"/>
    </w:rPr>
  </w:style>
  <w:style w:type="character" w:customStyle="1" w:styleId="54">
    <w:name w:val="标题 3 字符1"/>
    <w:link w:val="7"/>
    <w:qFormat/>
    <w:uiPriority w:val="0"/>
    <w:rPr>
      <w:rFonts w:ascii="宋体" w:eastAsia="宋体"/>
      <w:b/>
      <w:sz w:val="24"/>
      <w:u w:val="single"/>
      <w:lang w:val="en-US" w:eastAsia="zh-CN" w:bidi="ar-SA"/>
    </w:rPr>
  </w:style>
  <w:style w:type="character" w:customStyle="1" w:styleId="55">
    <w:name w:val="标题 4 字符1"/>
    <w:link w:val="9"/>
    <w:qFormat/>
    <w:uiPriority w:val="0"/>
    <w:rPr>
      <w:rFonts w:ascii="Arial" w:hAnsi="Arial" w:eastAsia="黑体"/>
      <w:b/>
      <w:sz w:val="28"/>
    </w:rPr>
  </w:style>
  <w:style w:type="character" w:customStyle="1" w:styleId="56">
    <w:name w:val="标题 5 字符1"/>
    <w:link w:val="10"/>
    <w:qFormat/>
    <w:uiPriority w:val="0"/>
    <w:rPr>
      <w:b/>
      <w:sz w:val="28"/>
    </w:rPr>
  </w:style>
  <w:style w:type="character" w:customStyle="1" w:styleId="57">
    <w:name w:val="标题 6 字符1"/>
    <w:link w:val="11"/>
    <w:qFormat/>
    <w:uiPriority w:val="0"/>
    <w:rPr>
      <w:rFonts w:ascii="Arial" w:hAnsi="Arial" w:eastAsia="黑体"/>
      <w:b/>
      <w:sz w:val="24"/>
    </w:rPr>
  </w:style>
  <w:style w:type="character" w:customStyle="1" w:styleId="58">
    <w:name w:val="标题 7 字符1"/>
    <w:link w:val="12"/>
    <w:qFormat/>
    <w:uiPriority w:val="0"/>
    <w:rPr>
      <w:b/>
      <w:sz w:val="24"/>
    </w:rPr>
  </w:style>
  <w:style w:type="character" w:customStyle="1" w:styleId="59">
    <w:name w:val="标题 8 字符1"/>
    <w:link w:val="13"/>
    <w:qFormat/>
    <w:uiPriority w:val="0"/>
    <w:rPr>
      <w:rFonts w:ascii="Arial" w:hAnsi="Arial" w:eastAsia="黑体"/>
      <w:sz w:val="24"/>
    </w:rPr>
  </w:style>
  <w:style w:type="character" w:customStyle="1" w:styleId="60">
    <w:name w:val="标题 9 字符1"/>
    <w:link w:val="14"/>
    <w:qFormat/>
    <w:uiPriority w:val="0"/>
    <w:rPr>
      <w:rFonts w:ascii="Arial" w:hAnsi="Arial" w:eastAsia="黑体"/>
      <w:sz w:val="21"/>
    </w:rPr>
  </w:style>
  <w:style w:type="paragraph" w:customStyle="1" w:styleId="61">
    <w:name w:val="目录 71"/>
    <w:basedOn w:val="1"/>
    <w:next w:val="1"/>
    <w:qFormat/>
    <w:uiPriority w:val="0"/>
    <w:pPr>
      <w:ind w:left="2520" w:leftChars="1200"/>
    </w:pPr>
  </w:style>
  <w:style w:type="character" w:customStyle="1" w:styleId="62">
    <w:name w:val="文档结构图 字符1"/>
    <w:link w:val="16"/>
    <w:qFormat/>
    <w:uiPriority w:val="0"/>
    <w:rPr>
      <w:kern w:val="2"/>
      <w:sz w:val="21"/>
      <w:szCs w:val="24"/>
      <w:shd w:val="clear" w:color="auto" w:fill="000080"/>
    </w:rPr>
  </w:style>
  <w:style w:type="character" w:customStyle="1" w:styleId="63">
    <w:name w:val="批注文字 字符2"/>
    <w:link w:val="17"/>
    <w:qFormat/>
    <w:uiPriority w:val="99"/>
    <w:rPr>
      <w:kern w:val="2"/>
      <w:sz w:val="21"/>
      <w:szCs w:val="24"/>
    </w:rPr>
  </w:style>
  <w:style w:type="character" w:customStyle="1" w:styleId="64">
    <w:name w:val="正文文本 3 字符1"/>
    <w:link w:val="18"/>
    <w:qFormat/>
    <w:uiPriority w:val="0"/>
    <w:rPr>
      <w:kern w:val="2"/>
      <w:sz w:val="16"/>
      <w:szCs w:val="16"/>
    </w:rPr>
  </w:style>
  <w:style w:type="character" w:customStyle="1" w:styleId="65">
    <w:name w:val="正文文本 字符1"/>
    <w:link w:val="3"/>
    <w:qFormat/>
    <w:uiPriority w:val="0"/>
    <w:rPr>
      <w:rFonts w:ascii="宋体" w:hAnsi="宋体"/>
      <w:kern w:val="2"/>
      <w:sz w:val="24"/>
      <w:szCs w:val="24"/>
    </w:rPr>
  </w:style>
  <w:style w:type="character" w:customStyle="1" w:styleId="66">
    <w:name w:val="正文文本缩进 字符1"/>
    <w:link w:val="19"/>
    <w:qFormat/>
    <w:uiPriority w:val="0"/>
    <w:rPr>
      <w:rFonts w:eastAsia="宋体"/>
      <w:kern w:val="2"/>
      <w:sz w:val="24"/>
      <w:szCs w:val="24"/>
      <w:lang w:val="en-US" w:eastAsia="zh-CN" w:bidi="ar-SA"/>
    </w:rPr>
  </w:style>
  <w:style w:type="paragraph" w:customStyle="1" w:styleId="67">
    <w:name w:val="目录 51"/>
    <w:basedOn w:val="1"/>
    <w:next w:val="1"/>
    <w:qFormat/>
    <w:uiPriority w:val="0"/>
    <w:pPr>
      <w:ind w:left="1680" w:leftChars="800"/>
    </w:pPr>
  </w:style>
  <w:style w:type="paragraph" w:customStyle="1" w:styleId="68">
    <w:name w:val="目录 31"/>
    <w:basedOn w:val="1"/>
    <w:next w:val="1"/>
    <w:qFormat/>
    <w:uiPriority w:val="39"/>
    <w:pPr>
      <w:ind w:left="840" w:leftChars="400"/>
    </w:pPr>
  </w:style>
  <w:style w:type="character" w:customStyle="1" w:styleId="69">
    <w:name w:val="纯文本 字符3"/>
    <w:link w:val="23"/>
    <w:qFormat/>
    <w:uiPriority w:val="99"/>
    <w:rPr>
      <w:rFonts w:hint="eastAsia" w:ascii="宋体" w:hAnsi="Courier New" w:eastAsia="宋体" w:cs="宋体"/>
      <w:kern w:val="2"/>
      <w:sz w:val="21"/>
    </w:rPr>
  </w:style>
  <w:style w:type="paragraph" w:customStyle="1" w:styleId="70">
    <w:name w:val="目录 81"/>
    <w:basedOn w:val="1"/>
    <w:next w:val="1"/>
    <w:qFormat/>
    <w:uiPriority w:val="0"/>
    <w:pPr>
      <w:ind w:left="2940" w:leftChars="1400"/>
    </w:pPr>
  </w:style>
  <w:style w:type="character" w:customStyle="1" w:styleId="71">
    <w:name w:val="日期 字符1"/>
    <w:link w:val="24"/>
    <w:qFormat/>
    <w:uiPriority w:val="0"/>
    <w:rPr>
      <w:rFonts w:ascii="仿宋_GB2312" w:hAnsi="宋体" w:eastAsia="仿宋_GB2312"/>
      <w:color w:val="000000"/>
      <w:kern w:val="2"/>
      <w:sz w:val="24"/>
      <w:szCs w:val="24"/>
    </w:rPr>
  </w:style>
  <w:style w:type="character" w:customStyle="1" w:styleId="72">
    <w:name w:val="正文文本缩进 2 字符1"/>
    <w:link w:val="25"/>
    <w:qFormat/>
    <w:uiPriority w:val="0"/>
    <w:rPr>
      <w:rFonts w:ascii="仿宋_GB2312" w:eastAsia="仿宋_GB2312"/>
      <w:kern w:val="2"/>
      <w:sz w:val="24"/>
      <w:szCs w:val="24"/>
    </w:rPr>
  </w:style>
  <w:style w:type="character" w:customStyle="1" w:styleId="73">
    <w:name w:val="批注框文本 字符1"/>
    <w:link w:val="26"/>
    <w:qFormat/>
    <w:uiPriority w:val="0"/>
    <w:rPr>
      <w:kern w:val="2"/>
      <w:sz w:val="18"/>
      <w:szCs w:val="18"/>
    </w:rPr>
  </w:style>
  <w:style w:type="character" w:customStyle="1" w:styleId="74">
    <w:name w:val="页脚 字符1"/>
    <w:link w:val="27"/>
    <w:qFormat/>
    <w:uiPriority w:val="99"/>
    <w:rPr>
      <w:rFonts w:ascii="宋体" w:eastAsia="宋体"/>
      <w:sz w:val="18"/>
      <w:lang w:val="en-US" w:eastAsia="zh-CN" w:bidi="ar-SA"/>
    </w:rPr>
  </w:style>
  <w:style w:type="character" w:customStyle="1" w:styleId="75">
    <w:name w:val="页眉 字符1"/>
    <w:link w:val="28"/>
    <w:qFormat/>
    <w:uiPriority w:val="0"/>
    <w:rPr>
      <w:rFonts w:eastAsia="宋体"/>
      <w:kern w:val="2"/>
      <w:sz w:val="18"/>
      <w:szCs w:val="18"/>
      <w:lang w:val="en-US" w:eastAsia="zh-CN" w:bidi="ar-SA"/>
    </w:rPr>
  </w:style>
  <w:style w:type="paragraph" w:customStyle="1" w:styleId="76">
    <w:name w:val="目录 11"/>
    <w:basedOn w:val="1"/>
    <w:next w:val="1"/>
    <w:qFormat/>
    <w:uiPriority w:val="39"/>
    <w:pPr>
      <w:tabs>
        <w:tab w:val="left" w:pos="1050"/>
        <w:tab w:val="right" w:leader="dot" w:pos="8937"/>
      </w:tabs>
      <w:spacing w:line="300" w:lineRule="auto"/>
    </w:pPr>
    <w:rPr>
      <w:rFonts w:ascii="宋体" w:hAnsi="宋体"/>
      <w:b/>
      <w:sz w:val="24"/>
    </w:rPr>
  </w:style>
  <w:style w:type="paragraph" w:customStyle="1" w:styleId="77">
    <w:name w:val="目录 41"/>
    <w:basedOn w:val="1"/>
    <w:next w:val="1"/>
    <w:qFormat/>
    <w:uiPriority w:val="0"/>
    <w:pPr>
      <w:ind w:left="1260" w:leftChars="600"/>
    </w:pPr>
  </w:style>
  <w:style w:type="paragraph" w:customStyle="1" w:styleId="78">
    <w:name w:val="目录 61"/>
    <w:basedOn w:val="1"/>
    <w:next w:val="1"/>
    <w:qFormat/>
    <w:uiPriority w:val="0"/>
    <w:pPr>
      <w:ind w:left="2100" w:leftChars="1000"/>
    </w:pPr>
  </w:style>
  <w:style w:type="character" w:customStyle="1" w:styleId="79">
    <w:name w:val="正文文本缩进 3 字符1"/>
    <w:link w:val="30"/>
    <w:qFormat/>
    <w:uiPriority w:val="0"/>
    <w:rPr>
      <w:rFonts w:ascii="宋体"/>
      <w:sz w:val="24"/>
    </w:rPr>
  </w:style>
  <w:style w:type="paragraph" w:customStyle="1" w:styleId="80">
    <w:name w:val="目录 21"/>
    <w:basedOn w:val="1"/>
    <w:next w:val="1"/>
    <w:qFormat/>
    <w:uiPriority w:val="39"/>
    <w:pPr>
      <w:tabs>
        <w:tab w:val="right" w:leader="dot" w:pos="8937"/>
      </w:tabs>
      <w:spacing w:line="312" w:lineRule="auto"/>
      <w:ind w:left="420" w:leftChars="200"/>
    </w:pPr>
  </w:style>
  <w:style w:type="paragraph" w:customStyle="1" w:styleId="81">
    <w:name w:val="目录 91"/>
    <w:basedOn w:val="1"/>
    <w:next w:val="1"/>
    <w:qFormat/>
    <w:uiPriority w:val="0"/>
    <w:pPr>
      <w:ind w:left="3360" w:leftChars="1600"/>
    </w:pPr>
  </w:style>
  <w:style w:type="character" w:customStyle="1" w:styleId="82">
    <w:name w:val="HTML 预设格式 字符1"/>
    <w:link w:val="34"/>
    <w:qFormat/>
    <w:uiPriority w:val="0"/>
    <w:rPr>
      <w:rFonts w:ascii="宋体" w:hAnsi="宋体" w:cs="宋体"/>
      <w:sz w:val="24"/>
      <w:szCs w:val="24"/>
    </w:rPr>
  </w:style>
  <w:style w:type="character" w:customStyle="1" w:styleId="83">
    <w:name w:val="标题 字符1"/>
    <w:link w:val="37"/>
    <w:qFormat/>
    <w:uiPriority w:val="0"/>
    <w:rPr>
      <w:b/>
      <w:kern w:val="2"/>
      <w:sz w:val="32"/>
    </w:rPr>
  </w:style>
  <w:style w:type="character" w:customStyle="1" w:styleId="84">
    <w:name w:val="批注主题 字符1"/>
    <w:link w:val="38"/>
    <w:qFormat/>
    <w:uiPriority w:val="0"/>
    <w:rPr>
      <w:rFonts w:ascii="Times New Roman" w:hAnsi="Times New Roman" w:eastAsia="宋体" w:cs="Times New Roman"/>
      <w:b/>
      <w:bCs/>
      <w:kern w:val="2"/>
      <w:sz w:val="21"/>
      <w:szCs w:val="24"/>
      <w:lang w:val="en-US" w:eastAsia="zh-CN" w:bidi="ar-SA"/>
    </w:rPr>
  </w:style>
  <w:style w:type="character" w:customStyle="1" w:styleId="85">
    <w:name w:val="批注文字 字符"/>
    <w:qFormat/>
    <w:uiPriority w:val="99"/>
    <w:rPr>
      <w:rFonts w:ascii="Times New Roman" w:hAnsi="Times New Roman" w:eastAsia="宋体" w:cs="Times New Roman"/>
      <w:sz w:val="24"/>
      <w:lang w:val="en-US" w:eastAsia="zh-CN" w:bidi="ar-SA"/>
    </w:rPr>
  </w:style>
  <w:style w:type="paragraph" w:customStyle="1" w:styleId="86">
    <w:name w:val="正文首行缩进 21"/>
    <w:basedOn w:val="19"/>
    <w:link w:val="87"/>
    <w:qFormat/>
    <w:uiPriority w:val="0"/>
    <w:pPr>
      <w:spacing w:after="120" w:line="480" w:lineRule="exact"/>
      <w:ind w:left="420" w:leftChars="200" w:firstLine="420" w:firstLineChars="200"/>
    </w:pPr>
    <w:rPr>
      <w:szCs w:val="20"/>
    </w:rPr>
  </w:style>
  <w:style w:type="character" w:customStyle="1" w:styleId="87">
    <w:name w:val="正文首行缩进 2 Char1"/>
    <w:link w:val="86"/>
    <w:qFormat/>
    <w:uiPriority w:val="0"/>
    <w:rPr>
      <w:rFonts w:eastAsia="宋体"/>
      <w:kern w:val="2"/>
      <w:sz w:val="24"/>
      <w:szCs w:val="24"/>
      <w:lang w:val="en-US" w:eastAsia="zh-CN" w:bidi="ar-SA"/>
    </w:rPr>
  </w:style>
  <w:style w:type="character" w:customStyle="1" w:styleId="88">
    <w:name w:val="c21"/>
    <w:qFormat/>
    <w:uiPriority w:val="0"/>
    <w:rPr>
      <w:rFonts w:hint="default" w:ascii="ˎ̥" w:hAnsi="ˎ̥"/>
      <w:color w:val="000000"/>
      <w:sz w:val="20"/>
      <w:szCs w:val="20"/>
      <w:u w:val="none"/>
    </w:rPr>
  </w:style>
  <w:style w:type="character" w:customStyle="1" w:styleId="89">
    <w:name w:val="title4"/>
    <w:qFormat/>
    <w:uiPriority w:val="0"/>
    <w:rPr>
      <w:b/>
      <w:bCs/>
      <w:color w:val="1D87B3"/>
      <w:sz w:val="15"/>
      <w:szCs w:val="15"/>
    </w:rPr>
  </w:style>
  <w:style w:type="character" w:customStyle="1" w:styleId="90">
    <w:name w:val="标题 2 Char Char"/>
    <w:qFormat/>
    <w:uiPriority w:val="0"/>
    <w:rPr>
      <w:rFonts w:ascii="Arial" w:hAnsi="Arial" w:eastAsia="黑体"/>
      <w:b/>
      <w:bCs/>
      <w:kern w:val="2"/>
      <w:sz w:val="32"/>
      <w:szCs w:val="32"/>
      <w:lang w:val="en-US" w:eastAsia="zh-CN" w:bidi="ar-SA"/>
    </w:rPr>
  </w:style>
  <w:style w:type="character" w:customStyle="1" w:styleId="91">
    <w:name w:val="black1"/>
    <w:qFormat/>
    <w:uiPriority w:val="0"/>
    <w:rPr>
      <w:color w:val="000000"/>
    </w:rPr>
  </w:style>
  <w:style w:type="character" w:customStyle="1" w:styleId="92">
    <w:name w:val="street-address"/>
    <w:qFormat/>
    <w:uiPriority w:val="0"/>
  </w:style>
  <w:style w:type="character" w:customStyle="1" w:styleId="93">
    <w:name w:val="locality"/>
    <w:qFormat/>
    <w:uiPriority w:val="0"/>
  </w:style>
  <w:style w:type="character" w:customStyle="1" w:styleId="94">
    <w:name w:val="正文文本缩进 Char1"/>
    <w:link w:val="95"/>
    <w:qFormat/>
    <w:uiPriority w:val="0"/>
    <w:rPr>
      <w:rFonts w:ascii="宋体" w:hAnsi="宋体" w:eastAsia="宋体"/>
      <w:sz w:val="24"/>
      <w:szCs w:val="24"/>
      <w:lang w:bidi="ar-SA"/>
    </w:rPr>
  </w:style>
  <w:style w:type="paragraph" w:customStyle="1" w:styleId="95">
    <w:name w:val="正文文本缩进1"/>
    <w:basedOn w:val="1"/>
    <w:link w:val="94"/>
    <w:qFormat/>
    <w:uiPriority w:val="0"/>
    <w:pPr>
      <w:spacing w:line="480" w:lineRule="exact"/>
      <w:ind w:firstLine="480" w:firstLineChars="200"/>
    </w:pPr>
    <w:rPr>
      <w:rFonts w:ascii="宋体" w:hAnsi="宋体"/>
      <w:kern w:val="0"/>
      <w:sz w:val="24"/>
    </w:rPr>
  </w:style>
  <w:style w:type="character" w:customStyle="1" w:styleId="96">
    <w:name w:val="Char Char11"/>
    <w:qFormat/>
    <w:uiPriority w:val="0"/>
    <w:rPr>
      <w:rFonts w:ascii="宋体" w:eastAsia="宋体"/>
      <w:b/>
      <w:sz w:val="24"/>
      <w:u w:val="single"/>
      <w:lang w:val="en-US" w:eastAsia="zh-CN" w:bidi="ar-SA"/>
    </w:rPr>
  </w:style>
  <w:style w:type="character" w:customStyle="1" w:styleId="97">
    <w:name w:val="txt"/>
    <w:qFormat/>
    <w:uiPriority w:val="0"/>
  </w:style>
  <w:style w:type="character" w:customStyle="1" w:styleId="98">
    <w:name w:val="正文缩进 Char Char"/>
    <w:link w:val="99"/>
    <w:qFormat/>
    <w:uiPriority w:val="0"/>
    <w:rPr>
      <w:rFonts w:ascii="宋体" w:eastAsia="宋体"/>
      <w:snapToGrid w:val="0"/>
      <w:color w:val="000000"/>
      <w:kern w:val="28"/>
      <w:sz w:val="28"/>
      <w:lang w:bidi="ar-SA"/>
    </w:rPr>
  </w:style>
  <w:style w:type="paragraph" w:customStyle="1" w:styleId="99">
    <w:name w:val="正文缩进11"/>
    <w:basedOn w:val="1"/>
    <w:link w:val="9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0">
    <w:name w:val="普通文字1 Char1"/>
    <w:qFormat/>
    <w:uiPriority w:val="0"/>
    <w:rPr>
      <w:rFonts w:ascii="宋体" w:hAnsi="Courier New" w:eastAsia="宋体"/>
      <w:kern w:val="2"/>
      <w:sz w:val="21"/>
      <w:lang w:val="en-US" w:eastAsia="zh-CN" w:bidi="ar-SA"/>
    </w:rPr>
  </w:style>
  <w:style w:type="character" w:customStyle="1" w:styleId="101">
    <w:name w:val="chanpin1"/>
    <w:qFormat/>
    <w:uiPriority w:val="0"/>
    <w:rPr>
      <w:rFonts w:hint="default" w:ascii="ˎ̥" w:hAnsi="ˎ̥"/>
      <w:color w:val="000000"/>
      <w:sz w:val="20"/>
      <w:szCs w:val="20"/>
      <w:u w:val="none"/>
    </w:rPr>
  </w:style>
  <w:style w:type="character" w:customStyle="1" w:styleId="102">
    <w:name w:val="列表段落 字符"/>
    <w:link w:val="103"/>
    <w:qFormat/>
    <w:uiPriority w:val="34"/>
    <w:rPr>
      <w:rFonts w:ascii="Calibri" w:hAnsi="Calibri" w:eastAsia="宋体"/>
      <w:kern w:val="2"/>
      <w:sz w:val="21"/>
      <w:szCs w:val="22"/>
      <w:lang w:val="en-US" w:eastAsia="zh-CN" w:bidi="ar-SA"/>
    </w:rPr>
  </w:style>
  <w:style w:type="paragraph" w:styleId="103">
    <w:name w:val="List Paragraph"/>
    <w:basedOn w:val="1"/>
    <w:link w:val="102"/>
    <w:qFormat/>
    <w:uiPriority w:val="34"/>
    <w:pPr>
      <w:ind w:firstLine="420" w:firstLineChars="200"/>
    </w:pPr>
    <w:rPr>
      <w:rFonts w:ascii="Calibri" w:hAnsi="Calibri"/>
      <w:szCs w:val="22"/>
    </w:rPr>
  </w:style>
  <w:style w:type="character" w:customStyle="1" w:styleId="104">
    <w:name w:val="标题 3 Char Char"/>
    <w:qFormat/>
    <w:uiPriority w:val="0"/>
    <w:rPr>
      <w:rFonts w:eastAsia="宋体"/>
      <w:b/>
      <w:bCs/>
      <w:kern w:val="2"/>
      <w:sz w:val="32"/>
      <w:szCs w:val="32"/>
      <w:lang w:val="en-US" w:eastAsia="zh-CN" w:bidi="ar-SA"/>
    </w:rPr>
  </w:style>
  <w:style w:type="character" w:customStyle="1" w:styleId="105">
    <w:name w:val="段1 Char"/>
    <w:qFormat/>
    <w:uiPriority w:val="0"/>
    <w:rPr>
      <w:rFonts w:ascii="宋体" w:eastAsia="宋体"/>
      <w:sz w:val="24"/>
      <w:lang w:val="en-US" w:eastAsia="zh-CN" w:bidi="ar-SA"/>
    </w:rPr>
  </w:style>
  <w:style w:type="character" w:customStyle="1" w:styleId="106">
    <w:name w:val="chanpin拷贝"/>
    <w:qFormat/>
    <w:uiPriority w:val="0"/>
  </w:style>
  <w:style w:type="character" w:customStyle="1" w:styleId="107">
    <w:name w:val="纯文本 Char1"/>
    <w:qFormat/>
    <w:uiPriority w:val="0"/>
    <w:rPr>
      <w:rFonts w:ascii="宋体" w:hAnsi="Courier New" w:eastAsia="宋体"/>
      <w:kern w:val="2"/>
      <w:sz w:val="21"/>
      <w:lang w:val="en-US" w:eastAsia="zh-CN" w:bidi="ar-SA"/>
    </w:rPr>
  </w:style>
  <w:style w:type="character" w:customStyle="1" w:styleId="108">
    <w:name w:val="apple-style-span"/>
    <w:qFormat/>
    <w:uiPriority w:val="0"/>
    <w:rPr>
      <w:rFonts w:cs="Times New Roman"/>
    </w:rPr>
  </w:style>
  <w:style w:type="paragraph" w:customStyle="1" w:styleId="109">
    <w:name w:val="二级条标题"/>
    <w:basedOn w:val="110"/>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10">
    <w:name w:val="一级条标题"/>
    <w:basedOn w:val="111"/>
    <w:next w:val="1"/>
    <w:qFormat/>
    <w:uiPriority w:val="0"/>
    <w:pPr>
      <w:numPr>
        <w:ilvl w:val="1"/>
      </w:numPr>
      <w:tabs>
        <w:tab w:val="left" w:pos="360"/>
        <w:tab w:val="left" w:pos="840"/>
      </w:tabs>
      <w:ind w:left="0" w:hanging="840"/>
      <w:outlineLvl w:val="1"/>
    </w:pPr>
  </w:style>
  <w:style w:type="paragraph" w:customStyle="1" w:styleId="111">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3">
    <w:name w:val="字元 字元"/>
    <w:basedOn w:val="1"/>
    <w:qFormat/>
    <w:uiPriority w:val="0"/>
    <w:rPr>
      <w:rFonts w:ascii="Tahoma" w:hAnsi="Tahoma"/>
      <w:sz w:val="24"/>
      <w:szCs w:val="20"/>
    </w:rPr>
  </w:style>
  <w:style w:type="paragraph" w:customStyle="1" w:styleId="114">
    <w:name w:val="Char3 Char Char Char"/>
    <w:basedOn w:val="1"/>
    <w:qFormat/>
    <w:uiPriority w:val="0"/>
    <w:rPr>
      <w:rFonts w:ascii="Tahoma" w:hAnsi="Tahoma"/>
      <w:sz w:val="24"/>
      <w:szCs w:val="20"/>
    </w:rPr>
  </w:style>
  <w:style w:type="paragraph" w:customStyle="1" w:styleId="11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6">
    <w:name w:val="项目编号2"/>
    <w:basedOn w:val="117"/>
    <w:qFormat/>
    <w:uiPriority w:val="0"/>
    <w:pPr>
      <w:numPr>
        <w:numId w:val="2"/>
      </w:numPr>
    </w:pPr>
  </w:style>
  <w:style w:type="paragraph" w:customStyle="1" w:styleId="117">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8">
    <w:name w:val="图中文字"/>
    <w:basedOn w:val="1"/>
    <w:qFormat/>
    <w:uiPriority w:val="0"/>
    <w:pPr>
      <w:adjustRightInd w:val="0"/>
      <w:snapToGrid w:val="0"/>
      <w:spacing w:line="0" w:lineRule="atLeast"/>
      <w:jc w:val="center"/>
    </w:pPr>
    <w:rPr>
      <w:sz w:val="24"/>
      <w:szCs w:val="20"/>
    </w:rPr>
  </w:style>
  <w:style w:type="paragraph" w:customStyle="1" w:styleId="11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1">
    <w:name w:val="Char2"/>
    <w:basedOn w:val="1"/>
    <w:qFormat/>
    <w:uiPriority w:val="0"/>
    <w:rPr>
      <w:rFonts w:ascii="Tahoma" w:hAnsi="Tahoma"/>
      <w:sz w:val="24"/>
      <w:szCs w:val="20"/>
    </w:rPr>
  </w:style>
  <w:style w:type="paragraph" w:customStyle="1" w:styleId="12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3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5">
    <w:name w:val="font8"/>
    <w:basedOn w:val="1"/>
    <w:qFormat/>
    <w:uiPriority w:val="0"/>
    <w:pPr>
      <w:widowControl/>
      <w:spacing w:before="100" w:beforeAutospacing="1" w:after="100" w:afterAutospacing="1"/>
      <w:jc w:val="left"/>
    </w:pPr>
    <w:rPr>
      <w:kern w:val="0"/>
      <w:sz w:val="36"/>
      <w:szCs w:val="36"/>
    </w:rPr>
  </w:style>
  <w:style w:type="paragraph" w:customStyle="1" w:styleId="136">
    <w:name w:val="Char"/>
    <w:basedOn w:val="1"/>
    <w:qFormat/>
    <w:uiPriority w:val="0"/>
    <w:pPr>
      <w:tabs>
        <w:tab w:val="left" w:pos="360"/>
      </w:tabs>
    </w:pPr>
    <w:rPr>
      <w:sz w:val="24"/>
    </w:rPr>
  </w:style>
  <w:style w:type="paragraph" w:customStyle="1" w:styleId="13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0">
    <w:name w:val="Char Char1"/>
    <w:basedOn w:val="16"/>
    <w:qFormat/>
    <w:uiPriority w:val="0"/>
    <w:rPr>
      <w:rFonts w:ascii="Tahoma" w:hAnsi="Tahoma"/>
      <w:sz w:val="24"/>
    </w:rPr>
  </w:style>
  <w:style w:type="paragraph" w:customStyle="1" w:styleId="1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5">
    <w:name w:val="Char1 Char Char Char1"/>
    <w:basedOn w:val="1"/>
    <w:qFormat/>
    <w:uiPriority w:val="0"/>
    <w:rPr>
      <w:rFonts w:ascii="Tahoma" w:hAnsi="Tahoma" w:cs="仿宋_GB2312"/>
      <w:sz w:val="24"/>
      <w:szCs w:val="28"/>
    </w:rPr>
  </w:style>
  <w:style w:type="paragraph" w:customStyle="1" w:styleId="146">
    <w:name w:val="四级条标题"/>
    <w:basedOn w:val="147"/>
    <w:next w:val="1"/>
    <w:qFormat/>
    <w:uiPriority w:val="0"/>
    <w:pPr>
      <w:numPr>
        <w:ilvl w:val="4"/>
      </w:numPr>
      <w:tabs>
        <w:tab w:val="left" w:pos="360"/>
        <w:tab w:val="left" w:pos="840"/>
      </w:tabs>
      <w:ind w:left="0" w:hanging="840"/>
      <w:outlineLvl w:val="4"/>
    </w:pPr>
  </w:style>
  <w:style w:type="paragraph" w:customStyle="1" w:styleId="147">
    <w:name w:val="三级条标题"/>
    <w:basedOn w:val="109"/>
    <w:next w:val="1"/>
    <w:qFormat/>
    <w:uiPriority w:val="0"/>
    <w:pPr>
      <w:numPr>
        <w:ilvl w:val="3"/>
        <w:numId w:val="1"/>
      </w:numPr>
      <w:ind w:left="0" w:hanging="840"/>
      <w:outlineLvl w:val="3"/>
    </w:pPr>
  </w:style>
  <w:style w:type="paragraph" w:customStyle="1" w:styleId="14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9">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50">
    <w:name w:val="List Paragraph1"/>
    <w:basedOn w:val="1"/>
    <w:qFormat/>
    <w:uiPriority w:val="0"/>
    <w:pPr>
      <w:ind w:firstLine="420" w:firstLineChars="200"/>
    </w:pPr>
    <w:rPr>
      <w:rFonts w:ascii="Calibri" w:hAnsi="Calibri"/>
      <w:szCs w:val="22"/>
    </w:rPr>
  </w:style>
  <w:style w:type="paragraph" w:customStyle="1" w:styleId="151">
    <w:name w:val="项目符号1"/>
    <w:basedOn w:val="152"/>
    <w:qFormat/>
    <w:uiPriority w:val="0"/>
    <w:pPr>
      <w:ind w:left="-25" w:firstLine="0"/>
    </w:pPr>
  </w:style>
  <w:style w:type="paragraph" w:customStyle="1" w:styleId="152">
    <w:name w:val="正文文本样式"/>
    <w:basedOn w:val="1"/>
    <w:qFormat/>
    <w:uiPriority w:val="0"/>
    <w:pPr>
      <w:spacing w:line="360" w:lineRule="auto"/>
      <w:ind w:firstLine="482"/>
    </w:pPr>
    <w:rPr>
      <w:rFonts w:cs="宋体"/>
      <w:sz w:val="24"/>
      <w:szCs w:val="20"/>
    </w:rPr>
  </w:style>
  <w:style w:type="paragraph" w:customStyle="1" w:styleId="15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5">
    <w:name w:val="五级条标题"/>
    <w:basedOn w:val="146"/>
    <w:next w:val="1"/>
    <w:qFormat/>
    <w:uiPriority w:val="0"/>
    <w:pPr>
      <w:numPr>
        <w:ilvl w:val="5"/>
      </w:numPr>
      <w:ind w:left="0" w:hanging="840"/>
      <w:outlineLvl w:val="5"/>
    </w:pPr>
  </w:style>
  <w:style w:type="paragraph" w:customStyle="1" w:styleId="15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7">
    <w:name w:val="文档正文"/>
    <w:basedOn w:val="1"/>
    <w:qFormat/>
    <w:uiPriority w:val="0"/>
    <w:pPr>
      <w:snapToGrid w:val="0"/>
      <w:spacing w:before="120" w:after="120" w:line="180" w:lineRule="auto"/>
    </w:pPr>
    <w:rPr>
      <w:rFonts w:ascii="Arial" w:hAnsi="Arial"/>
      <w:szCs w:val="20"/>
    </w:rPr>
  </w:style>
  <w:style w:type="paragraph" w:customStyle="1" w:styleId="15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0">
    <w:name w:val="Char Char Char1 Char"/>
    <w:basedOn w:val="1"/>
    <w:qFormat/>
    <w:uiPriority w:val="0"/>
    <w:rPr>
      <w:rFonts w:ascii="Tahoma" w:hAnsi="Tahoma"/>
      <w:sz w:val="24"/>
      <w:szCs w:val="20"/>
    </w:rPr>
  </w:style>
  <w:style w:type="paragraph" w:customStyle="1" w:styleId="16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2">
    <w:name w:val="1名"/>
    <w:basedOn w:val="1"/>
    <w:qFormat/>
    <w:uiPriority w:val="0"/>
    <w:pPr>
      <w:numPr>
        <w:ilvl w:val="0"/>
        <w:numId w:val="5"/>
      </w:numPr>
      <w:spacing w:before="120"/>
    </w:pPr>
    <w:rPr>
      <w:rFonts w:ascii="宋体"/>
      <w:sz w:val="28"/>
      <w:szCs w:val="20"/>
    </w:rPr>
  </w:style>
  <w:style w:type="paragraph" w:customStyle="1" w:styleId="16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4">
    <w:name w:val="Char Char Char1 Char1"/>
    <w:basedOn w:val="1"/>
    <w:qFormat/>
    <w:uiPriority w:val="0"/>
    <w:rPr>
      <w:rFonts w:ascii="Tahoma" w:hAnsi="Tahoma"/>
      <w:sz w:val="24"/>
      <w:szCs w:val="20"/>
    </w:rPr>
  </w:style>
  <w:style w:type="paragraph" w:customStyle="1" w:styleId="165">
    <w:name w:val="Char Char Char Char Char Char Char Char Char Char"/>
    <w:basedOn w:val="1"/>
    <w:qFormat/>
    <w:uiPriority w:val="0"/>
  </w:style>
  <w:style w:type="paragraph" w:customStyle="1" w:styleId="16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7">
    <w:name w:val="Char1"/>
    <w:basedOn w:val="1"/>
    <w:qFormat/>
    <w:uiPriority w:val="0"/>
    <w:pPr>
      <w:tabs>
        <w:tab w:val="left" w:pos="360"/>
      </w:tabs>
    </w:pPr>
    <w:rPr>
      <w:sz w:val="24"/>
    </w:rPr>
  </w:style>
  <w:style w:type="paragraph" w:customStyle="1" w:styleId="168">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1">
    <w:name w:val="默认段落字体 Para Char Char Char Char"/>
    <w:basedOn w:val="1"/>
    <w:qFormat/>
    <w:uiPriority w:val="0"/>
    <w:rPr>
      <w:rFonts w:ascii="Arial" w:hAnsi="Arial" w:cs="Arial"/>
      <w:szCs w:val="21"/>
    </w:rPr>
  </w:style>
  <w:style w:type="paragraph" w:customStyle="1" w:styleId="17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5">
    <w:name w:val="Char Char Char"/>
    <w:basedOn w:val="1"/>
    <w:qFormat/>
    <w:uiPriority w:val="0"/>
    <w:rPr>
      <w:rFonts w:ascii="Tahoma" w:hAnsi="Tahoma"/>
      <w:sz w:val="24"/>
      <w:szCs w:val="20"/>
    </w:rPr>
  </w:style>
  <w:style w:type="paragraph" w:customStyle="1" w:styleId="17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7">
    <w:name w:val="缺省文本"/>
    <w:basedOn w:val="1"/>
    <w:qFormat/>
    <w:uiPriority w:val="0"/>
    <w:pPr>
      <w:autoSpaceDE w:val="0"/>
      <w:autoSpaceDN w:val="0"/>
      <w:adjustRightInd w:val="0"/>
      <w:jc w:val="left"/>
    </w:pPr>
    <w:rPr>
      <w:kern w:val="0"/>
      <w:sz w:val="24"/>
    </w:rPr>
  </w:style>
  <w:style w:type="paragraph" w:customStyle="1" w:styleId="178">
    <w:name w:val="Char Char Char1"/>
    <w:basedOn w:val="1"/>
    <w:qFormat/>
    <w:uiPriority w:val="0"/>
    <w:rPr>
      <w:rFonts w:ascii="Tahoma" w:hAnsi="Tahoma"/>
      <w:sz w:val="24"/>
      <w:szCs w:val="20"/>
    </w:rPr>
  </w:style>
  <w:style w:type="paragraph" w:customStyle="1" w:styleId="17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8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1">
    <w:name w:val="样式2"/>
    <w:basedOn w:val="36"/>
    <w:qFormat/>
    <w:uiPriority w:val="0"/>
    <w:pPr>
      <w:spacing w:line="360" w:lineRule="auto"/>
      <w:jc w:val="center"/>
    </w:pPr>
    <w:rPr>
      <w:sz w:val="24"/>
    </w:rPr>
  </w:style>
  <w:style w:type="paragraph" w:customStyle="1" w:styleId="18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4">
    <w:name w:val="正文 + 楷体_GB2312"/>
    <w:basedOn w:val="1"/>
    <w:qFormat/>
    <w:uiPriority w:val="0"/>
    <w:pPr>
      <w:widowControl/>
      <w:jc w:val="left"/>
    </w:pPr>
    <w:rPr>
      <w:rFonts w:ascii="楷体_GB2312" w:eastAsia="楷体_GB2312" w:cs="Arial"/>
      <w:kern w:val="0"/>
      <w:sz w:val="24"/>
    </w:rPr>
  </w:style>
  <w:style w:type="paragraph" w:customStyle="1" w:styleId="18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6">
    <w:name w:val="1 Char Char Char Char"/>
    <w:basedOn w:val="1"/>
    <w:qFormat/>
    <w:uiPriority w:val="0"/>
    <w:rPr>
      <w:rFonts w:ascii="Tahoma" w:hAnsi="Tahoma"/>
      <w:sz w:val="24"/>
      <w:szCs w:val="20"/>
    </w:rPr>
  </w:style>
  <w:style w:type="paragraph" w:customStyle="1" w:styleId="18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8">
    <w:name w:val="列出段落1"/>
    <w:basedOn w:val="1"/>
    <w:qFormat/>
    <w:uiPriority w:val="0"/>
    <w:pPr>
      <w:ind w:firstLine="420" w:firstLineChars="200"/>
    </w:pPr>
    <w:rPr>
      <w:rFonts w:ascii="Calibri" w:hAnsi="Calibri"/>
      <w:szCs w:val="22"/>
    </w:rPr>
  </w:style>
  <w:style w:type="paragraph" w:customStyle="1" w:styleId="18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90">
    <w:name w:val="字元 字元1"/>
    <w:basedOn w:val="1"/>
    <w:qFormat/>
    <w:uiPriority w:val="0"/>
    <w:rPr>
      <w:rFonts w:ascii="Tahoma" w:hAnsi="Tahoma"/>
      <w:sz w:val="24"/>
      <w:szCs w:val="20"/>
    </w:rPr>
  </w:style>
  <w:style w:type="paragraph" w:customStyle="1" w:styleId="191">
    <w:name w:val="_Style 160"/>
    <w:qFormat/>
    <w:uiPriority w:val="0"/>
    <w:rPr>
      <w:rFonts w:ascii="Times New Roman" w:hAnsi="Times New Roman" w:eastAsia="宋体" w:cs="Times New Roman"/>
      <w:kern w:val="2"/>
      <w:sz w:val="21"/>
      <w:szCs w:val="24"/>
      <w:lang w:val="en-US" w:eastAsia="zh-CN" w:bidi="ar-SA"/>
    </w:rPr>
  </w:style>
  <w:style w:type="paragraph" w:customStyle="1" w:styleId="192">
    <w:name w:val="项目编号3"/>
    <w:basedOn w:val="152"/>
    <w:qFormat/>
    <w:uiPriority w:val="0"/>
    <w:pPr>
      <w:numPr>
        <w:ilvl w:val="0"/>
        <w:numId w:val="6"/>
      </w:numPr>
    </w:pPr>
  </w:style>
  <w:style w:type="paragraph" w:customStyle="1" w:styleId="193">
    <w:name w:val="Char21"/>
    <w:basedOn w:val="1"/>
    <w:qFormat/>
    <w:uiPriority w:val="0"/>
    <w:rPr>
      <w:rFonts w:ascii="Tahoma" w:hAnsi="Tahoma"/>
      <w:sz w:val="24"/>
      <w:szCs w:val="20"/>
    </w:rPr>
  </w:style>
  <w:style w:type="paragraph" w:customStyle="1" w:styleId="194">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5">
    <w:name w:val="Char Char Char Char Char Char Char Char Char Char1"/>
    <w:basedOn w:val="1"/>
    <w:qFormat/>
    <w:uiPriority w:val="0"/>
    <w:rPr>
      <w:rFonts w:ascii="宋体" w:hAnsi="宋体" w:cs="Courier New"/>
      <w:sz w:val="32"/>
      <w:szCs w:val="32"/>
    </w:rPr>
  </w:style>
  <w:style w:type="paragraph" w:customStyle="1" w:styleId="196">
    <w:name w:val="正文文本样式 加粗"/>
    <w:basedOn w:val="152"/>
    <w:qFormat/>
    <w:uiPriority w:val="0"/>
    <w:rPr>
      <w:b/>
    </w:rPr>
  </w:style>
  <w:style w:type="paragraph" w:customStyle="1" w:styleId="197">
    <w:name w:val="Char2 Char Char Char Char Char Char"/>
    <w:basedOn w:val="1"/>
    <w:qFormat/>
    <w:uiPriority w:val="0"/>
    <w:pPr>
      <w:widowControl/>
      <w:spacing w:line="400" w:lineRule="exact"/>
      <w:jc w:val="center"/>
    </w:pPr>
  </w:style>
  <w:style w:type="paragraph" w:customStyle="1" w:styleId="198">
    <w:name w:val="Char Char4"/>
    <w:basedOn w:val="1"/>
    <w:qFormat/>
    <w:uiPriority w:val="0"/>
    <w:pPr>
      <w:widowControl/>
      <w:spacing w:line="400" w:lineRule="exact"/>
      <w:jc w:val="center"/>
    </w:pPr>
  </w:style>
  <w:style w:type="paragraph" w:customStyle="1" w:styleId="199">
    <w:name w:val="Char3 Char Char Char1"/>
    <w:basedOn w:val="1"/>
    <w:qFormat/>
    <w:uiPriority w:val="0"/>
    <w:rPr>
      <w:rFonts w:ascii="Tahoma" w:hAnsi="Tahoma"/>
      <w:sz w:val="24"/>
      <w:szCs w:val="20"/>
    </w:rPr>
  </w:style>
  <w:style w:type="paragraph" w:styleId="20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02">
    <w:name w:val="中等深浅网格 1 - 强调文字颜色 2 Char"/>
    <w:link w:val="203"/>
    <w:qFormat/>
    <w:uiPriority w:val="0"/>
    <w:rPr>
      <w:kern w:val="2"/>
      <w:sz w:val="21"/>
      <w:szCs w:val="24"/>
      <w:lang w:val="zh-CN" w:eastAsia="zh-CN"/>
    </w:rPr>
  </w:style>
  <w:style w:type="paragraph" w:customStyle="1" w:styleId="203">
    <w:name w:val="1"/>
    <w:link w:val="202"/>
    <w:qFormat/>
    <w:uiPriority w:val="0"/>
    <w:rPr>
      <w:rFonts w:ascii="Times New Roman" w:hAnsi="Times New Roman" w:eastAsia="宋体" w:cs="Times New Roman"/>
      <w:kern w:val="2"/>
      <w:sz w:val="21"/>
      <w:szCs w:val="24"/>
      <w:lang w:val="zh-CN" w:eastAsia="zh-CN" w:bidi="ar-SA"/>
    </w:rPr>
  </w:style>
  <w:style w:type="paragraph" w:customStyle="1" w:styleId="204">
    <w:name w:val="图文"/>
    <w:basedOn w:val="1"/>
    <w:qFormat/>
    <w:uiPriority w:val="0"/>
    <w:pPr>
      <w:adjustRightInd w:val="0"/>
      <w:snapToGrid w:val="0"/>
      <w:spacing w:after="50" w:line="360" w:lineRule="auto"/>
    </w:pPr>
    <w:rPr>
      <w:sz w:val="24"/>
    </w:rPr>
  </w:style>
  <w:style w:type="paragraph" w:customStyle="1" w:styleId="205">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6">
    <w:name w:val="正文表格"/>
    <w:basedOn w:val="1"/>
    <w:link w:val="207"/>
    <w:qFormat/>
    <w:uiPriority w:val="0"/>
    <w:pPr>
      <w:adjustRightInd w:val="0"/>
      <w:snapToGrid w:val="0"/>
      <w:jc w:val="left"/>
    </w:pPr>
    <w:rPr>
      <w:rFonts w:ascii="宋体" w:hAnsi="宋体"/>
      <w:color w:val="000000"/>
      <w:szCs w:val="21"/>
    </w:rPr>
  </w:style>
  <w:style w:type="character" w:customStyle="1" w:styleId="207">
    <w:name w:val="正文表格 Char"/>
    <w:link w:val="206"/>
    <w:qFormat/>
    <w:uiPriority w:val="0"/>
    <w:rPr>
      <w:rFonts w:ascii="宋体" w:hAnsi="宋体"/>
      <w:color w:val="000000"/>
      <w:kern w:val="2"/>
      <w:sz w:val="21"/>
      <w:szCs w:val="21"/>
    </w:rPr>
  </w:style>
  <w:style w:type="paragraph" w:customStyle="1" w:styleId="208">
    <w:name w:val="正文重点"/>
    <w:basedOn w:val="1"/>
    <w:link w:val="209"/>
    <w:qFormat/>
    <w:uiPriority w:val="0"/>
    <w:pPr>
      <w:adjustRightInd w:val="0"/>
      <w:spacing w:line="360" w:lineRule="auto"/>
      <w:ind w:firstLine="482" w:firstLineChars="200"/>
      <w:jc w:val="left"/>
      <w:textAlignment w:val="baseline"/>
    </w:pPr>
    <w:rPr>
      <w:b/>
      <w:kern w:val="0"/>
      <w:sz w:val="24"/>
      <w:szCs w:val="20"/>
    </w:rPr>
  </w:style>
  <w:style w:type="character" w:customStyle="1" w:styleId="209">
    <w:name w:val="正文重点 Char"/>
    <w:link w:val="208"/>
    <w:qFormat/>
    <w:uiPriority w:val="0"/>
    <w:rPr>
      <w:b/>
      <w:sz w:val="24"/>
    </w:rPr>
  </w:style>
  <w:style w:type="paragraph" w:customStyle="1" w:styleId="210">
    <w:name w:val="标题1-附件"/>
    <w:basedOn w:val="4"/>
    <w:qFormat/>
    <w:uiPriority w:val="0"/>
    <w:pPr>
      <w:jc w:val="left"/>
    </w:pPr>
    <w:rPr>
      <w:sz w:val="24"/>
      <w:szCs w:val="24"/>
    </w:rPr>
  </w:style>
  <w:style w:type="paragraph" w:customStyle="1" w:styleId="211">
    <w:name w:val="正文小标题"/>
    <w:basedOn w:val="1"/>
    <w:next w:val="6"/>
    <w:link w:val="212"/>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2">
    <w:name w:val="正文小标题 Char"/>
    <w:link w:val="211"/>
    <w:qFormat/>
    <w:uiPriority w:val="0"/>
    <w:rPr>
      <w:rFonts w:ascii="宋体" w:hAnsi="宋体"/>
      <w:b/>
      <w:i/>
      <w:color w:val="FF0000"/>
      <w:kern w:val="2"/>
      <w:sz w:val="24"/>
    </w:rPr>
  </w:style>
  <w:style w:type="paragraph" w:customStyle="1" w:styleId="213">
    <w:name w:val="正文大标题"/>
    <w:basedOn w:val="211"/>
    <w:next w:val="6"/>
    <w:link w:val="214"/>
    <w:qFormat/>
    <w:uiPriority w:val="0"/>
    <w:pPr>
      <w:jc w:val="center"/>
    </w:pPr>
    <w:rPr>
      <w:i w:val="0"/>
      <w:color w:val="000000"/>
      <w:sz w:val="28"/>
      <w:szCs w:val="21"/>
    </w:rPr>
  </w:style>
  <w:style w:type="character" w:customStyle="1" w:styleId="214">
    <w:name w:val="正文大标题 Char"/>
    <w:link w:val="213"/>
    <w:qFormat/>
    <w:uiPriority w:val="0"/>
    <w:rPr>
      <w:rFonts w:ascii="宋体" w:hAnsi="宋体"/>
      <w:b/>
      <w:color w:val="000000"/>
      <w:kern w:val="2"/>
      <w:sz w:val="28"/>
      <w:szCs w:val="21"/>
    </w:rPr>
  </w:style>
  <w:style w:type="paragraph" w:customStyle="1" w:styleId="215">
    <w:name w:val="注释"/>
    <w:basedOn w:val="1"/>
    <w:link w:val="216"/>
    <w:qFormat/>
    <w:uiPriority w:val="0"/>
    <w:pPr>
      <w:adjustRightInd w:val="0"/>
      <w:snapToGrid w:val="0"/>
      <w:ind w:left="420" w:hanging="420" w:hangingChars="200"/>
      <w:jc w:val="left"/>
    </w:pPr>
    <w:rPr>
      <w:rFonts w:ascii="宋体" w:hAnsi="宋体"/>
      <w:szCs w:val="21"/>
    </w:rPr>
  </w:style>
  <w:style w:type="character" w:customStyle="1" w:styleId="216">
    <w:name w:val="注释 Char"/>
    <w:link w:val="215"/>
    <w:qFormat/>
    <w:uiPriority w:val="0"/>
    <w:rPr>
      <w:rFonts w:ascii="宋体" w:hAnsi="宋体"/>
      <w:kern w:val="2"/>
      <w:sz w:val="21"/>
      <w:szCs w:val="21"/>
    </w:rPr>
  </w:style>
  <w:style w:type="paragraph" w:customStyle="1" w:styleId="217">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8">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9">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20">
    <w:name w:val="纯文本 字符"/>
    <w:qFormat/>
    <w:uiPriority w:val="0"/>
    <w:rPr>
      <w:rFonts w:ascii="宋体" w:hAnsi="Courier New" w:eastAsia="宋体" w:cs="Times New Roman"/>
      <w:kern w:val="2"/>
      <w:sz w:val="21"/>
      <w:szCs w:val="21"/>
      <w:lang w:val="en-US" w:eastAsia="zh-CN" w:bidi="ar-SA"/>
    </w:rPr>
  </w:style>
  <w:style w:type="paragraph" w:customStyle="1" w:styleId="221">
    <w:name w:val="表格1"/>
    <w:basedOn w:val="1"/>
    <w:qFormat/>
    <w:uiPriority w:val="0"/>
    <w:pPr>
      <w:ind w:firstLine="480" w:firstLineChars="200"/>
      <w:jc w:val="center"/>
    </w:pPr>
    <w:rPr>
      <w:sz w:val="24"/>
      <w:szCs w:val="20"/>
    </w:rPr>
  </w:style>
  <w:style w:type="character" w:customStyle="1" w:styleId="222">
    <w:name w:val="纯文本 字符1"/>
    <w:qFormat/>
    <w:uiPriority w:val="0"/>
    <w:rPr>
      <w:rFonts w:ascii="宋体" w:hAnsi="Courier New"/>
    </w:rPr>
  </w:style>
  <w:style w:type="character" w:customStyle="1" w:styleId="223">
    <w:name w:val="bjh-p"/>
    <w:qFormat/>
    <w:uiPriority w:val="0"/>
  </w:style>
  <w:style w:type="paragraph" w:customStyle="1" w:styleId="224">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5">
    <w:name w:val="正文格式 Char"/>
    <w:link w:val="226"/>
    <w:qFormat/>
    <w:locked/>
    <w:uiPriority w:val="0"/>
    <w:rPr>
      <w:rFonts w:ascii="宋体" w:hAnsi="宋体"/>
      <w:sz w:val="24"/>
      <w:szCs w:val="24"/>
      <w:lang w:val="en-GB"/>
    </w:rPr>
  </w:style>
  <w:style w:type="paragraph" w:customStyle="1" w:styleId="226">
    <w:name w:val="正文格式"/>
    <w:basedOn w:val="1"/>
    <w:link w:val="225"/>
    <w:qFormat/>
    <w:uiPriority w:val="0"/>
    <w:pPr>
      <w:spacing w:beforeLines="50" w:line="360" w:lineRule="auto"/>
      <w:ind w:firstLine="480" w:firstLineChars="200"/>
    </w:pPr>
    <w:rPr>
      <w:rFonts w:ascii="宋体" w:hAnsi="宋体"/>
      <w:kern w:val="0"/>
      <w:sz w:val="24"/>
      <w:lang w:val="en-GB"/>
    </w:rPr>
  </w:style>
  <w:style w:type="character" w:customStyle="1" w:styleId="227">
    <w:name w:val="标题 3 Char"/>
    <w:qFormat/>
    <w:uiPriority w:val="0"/>
    <w:rPr>
      <w:rFonts w:ascii="宋体" w:eastAsia="宋体"/>
      <w:b/>
      <w:sz w:val="24"/>
      <w:u w:val="single"/>
      <w:lang w:val="en-US" w:eastAsia="zh-CN" w:bidi="ar-SA"/>
    </w:rPr>
  </w:style>
  <w:style w:type="character" w:customStyle="1" w:styleId="228">
    <w:name w:val="正文缩进 Char"/>
    <w:qFormat/>
    <w:uiPriority w:val="0"/>
    <w:rPr>
      <w:rFonts w:ascii="宋体" w:eastAsia="宋体"/>
      <w:kern w:val="2"/>
      <w:sz w:val="24"/>
      <w:szCs w:val="24"/>
      <w:lang w:val="en-US" w:eastAsia="zh-CN" w:bidi="ar-SA"/>
    </w:rPr>
  </w:style>
  <w:style w:type="character" w:customStyle="1" w:styleId="229">
    <w:name w:val="Char Char111"/>
    <w:qFormat/>
    <w:uiPriority w:val="0"/>
    <w:rPr>
      <w:rFonts w:ascii="宋体" w:eastAsia="宋体"/>
      <w:b/>
      <w:sz w:val="24"/>
      <w:u w:val="single"/>
      <w:lang w:val="en-US" w:eastAsia="zh-CN" w:bidi="ar-SA"/>
    </w:rPr>
  </w:style>
  <w:style w:type="character" w:customStyle="1" w:styleId="230">
    <w:name w:val="正文文本缩进 Char"/>
    <w:qFormat/>
    <w:uiPriority w:val="0"/>
    <w:rPr>
      <w:rFonts w:eastAsia="宋体"/>
      <w:kern w:val="2"/>
      <w:sz w:val="24"/>
      <w:szCs w:val="24"/>
      <w:lang w:val="en-US" w:eastAsia="zh-CN" w:bidi="ar-SA"/>
    </w:rPr>
  </w:style>
  <w:style w:type="character" w:customStyle="1" w:styleId="231">
    <w:name w:val="列出段落 Char"/>
    <w:qFormat/>
    <w:uiPriority w:val="0"/>
    <w:rPr>
      <w:rFonts w:ascii="Calibri" w:hAnsi="Calibri" w:eastAsia="宋体"/>
      <w:kern w:val="2"/>
      <w:sz w:val="21"/>
      <w:szCs w:val="22"/>
      <w:lang w:val="en-US" w:eastAsia="zh-CN" w:bidi="ar-SA"/>
    </w:rPr>
  </w:style>
  <w:style w:type="character" w:customStyle="1" w:styleId="232">
    <w:name w:val="页眉 Char"/>
    <w:qFormat/>
    <w:uiPriority w:val="99"/>
    <w:rPr>
      <w:rFonts w:eastAsia="宋体"/>
      <w:kern w:val="2"/>
      <w:sz w:val="18"/>
      <w:szCs w:val="18"/>
      <w:lang w:val="en-US" w:eastAsia="zh-CN" w:bidi="ar-SA"/>
    </w:rPr>
  </w:style>
  <w:style w:type="character" w:customStyle="1" w:styleId="233">
    <w:name w:val="标题 2 Char"/>
    <w:qFormat/>
    <w:uiPriority w:val="0"/>
    <w:rPr>
      <w:rFonts w:ascii="Arial" w:hAnsi="Arial" w:eastAsia="黑体"/>
      <w:b/>
      <w:sz w:val="30"/>
      <w:lang w:val="en-US" w:eastAsia="zh-CN" w:bidi="ar-SA"/>
    </w:rPr>
  </w:style>
  <w:style w:type="paragraph" w:customStyle="1" w:styleId="234">
    <w:name w:val="字元 字元2"/>
    <w:basedOn w:val="1"/>
    <w:qFormat/>
    <w:uiPriority w:val="0"/>
    <w:rPr>
      <w:rFonts w:ascii="Tahoma" w:hAnsi="Tahoma"/>
      <w:sz w:val="24"/>
      <w:szCs w:val="20"/>
    </w:rPr>
  </w:style>
  <w:style w:type="paragraph" w:customStyle="1" w:styleId="235">
    <w:name w:val="Char3 Char Char Char2"/>
    <w:basedOn w:val="1"/>
    <w:qFormat/>
    <w:uiPriority w:val="0"/>
    <w:rPr>
      <w:rFonts w:ascii="Tahoma" w:hAnsi="Tahoma"/>
      <w:sz w:val="24"/>
      <w:szCs w:val="20"/>
    </w:rPr>
  </w:style>
  <w:style w:type="paragraph" w:customStyle="1" w:styleId="236">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7">
    <w:name w:val="Char3"/>
    <w:basedOn w:val="1"/>
    <w:qFormat/>
    <w:uiPriority w:val="0"/>
    <w:pPr>
      <w:tabs>
        <w:tab w:val="left" w:pos="360"/>
      </w:tabs>
    </w:pPr>
    <w:rPr>
      <w:sz w:val="24"/>
    </w:rPr>
  </w:style>
  <w:style w:type="paragraph" w:customStyle="1" w:styleId="238">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9">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0">
    <w:name w:val="列出段落2"/>
    <w:basedOn w:val="1"/>
    <w:qFormat/>
    <w:uiPriority w:val="0"/>
    <w:pPr>
      <w:ind w:firstLine="420" w:firstLineChars="200"/>
    </w:pPr>
    <w:rPr>
      <w:rFonts w:ascii="Calibri" w:hAnsi="Calibri"/>
      <w:szCs w:val="22"/>
    </w:rPr>
  </w:style>
  <w:style w:type="paragraph" w:customStyle="1" w:styleId="241">
    <w:name w:val="Char Char Char1 Char2"/>
    <w:basedOn w:val="1"/>
    <w:qFormat/>
    <w:uiPriority w:val="0"/>
    <w:rPr>
      <w:rFonts w:ascii="Tahoma" w:hAnsi="Tahoma"/>
      <w:sz w:val="24"/>
      <w:szCs w:val="20"/>
    </w:rPr>
  </w:style>
  <w:style w:type="paragraph" w:customStyle="1" w:styleId="242">
    <w:name w:val="Char Char Char2"/>
    <w:basedOn w:val="1"/>
    <w:qFormat/>
    <w:uiPriority w:val="0"/>
    <w:rPr>
      <w:rFonts w:ascii="Tahoma" w:hAnsi="Tahoma"/>
      <w:sz w:val="24"/>
      <w:szCs w:val="20"/>
    </w:rPr>
  </w:style>
  <w:style w:type="paragraph" w:customStyle="1" w:styleId="243">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4">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5">
    <w:name w:val="修订1"/>
    <w:qFormat/>
    <w:uiPriority w:val="0"/>
    <w:rPr>
      <w:rFonts w:ascii="Times New Roman" w:hAnsi="Times New Roman" w:eastAsia="宋体" w:cs="Times New Roman"/>
      <w:kern w:val="2"/>
      <w:sz w:val="21"/>
      <w:szCs w:val="24"/>
      <w:lang w:val="en-US" w:eastAsia="zh-CN" w:bidi="ar-SA"/>
    </w:rPr>
  </w:style>
  <w:style w:type="paragraph" w:customStyle="1" w:styleId="246">
    <w:name w:val="Char22"/>
    <w:basedOn w:val="1"/>
    <w:qFormat/>
    <w:uiPriority w:val="0"/>
    <w:rPr>
      <w:rFonts w:ascii="Tahoma" w:hAnsi="Tahoma"/>
      <w:sz w:val="24"/>
      <w:szCs w:val="20"/>
    </w:rPr>
  </w:style>
  <w:style w:type="paragraph" w:customStyle="1" w:styleId="247">
    <w:name w:val="Char Char Char Char Char Char Char Char Char Char2"/>
    <w:basedOn w:val="1"/>
    <w:qFormat/>
    <w:uiPriority w:val="0"/>
    <w:rPr>
      <w:rFonts w:ascii="宋体" w:hAnsi="宋体" w:cs="Courier New"/>
      <w:sz w:val="32"/>
      <w:szCs w:val="32"/>
    </w:rPr>
  </w:style>
  <w:style w:type="paragraph" w:customStyle="1" w:styleId="248">
    <w:name w:val="Char2 Char Char Char Char Char Char1"/>
    <w:basedOn w:val="1"/>
    <w:qFormat/>
    <w:uiPriority w:val="0"/>
    <w:pPr>
      <w:widowControl/>
      <w:spacing w:line="400" w:lineRule="exact"/>
      <w:jc w:val="center"/>
    </w:pPr>
  </w:style>
  <w:style w:type="character" w:customStyle="1" w:styleId="249">
    <w:name w:val="页脚 Char"/>
    <w:qFormat/>
    <w:uiPriority w:val="0"/>
    <w:rPr>
      <w:rFonts w:ascii="宋体" w:eastAsia="宋体"/>
      <w:sz w:val="18"/>
      <w:lang w:val="en-US" w:eastAsia="zh-CN" w:bidi="ar-SA"/>
    </w:rPr>
  </w:style>
  <w:style w:type="paragraph" w:customStyle="1" w:styleId="250">
    <w:name w:val="Char Char41"/>
    <w:basedOn w:val="1"/>
    <w:qFormat/>
    <w:uiPriority w:val="0"/>
    <w:pPr>
      <w:widowControl/>
      <w:spacing w:line="400" w:lineRule="exact"/>
      <w:jc w:val="center"/>
    </w:pPr>
  </w:style>
  <w:style w:type="character" w:customStyle="1" w:styleId="251">
    <w:name w:val="批注文字 Char"/>
    <w:qFormat/>
    <w:uiPriority w:val="0"/>
    <w:rPr>
      <w:kern w:val="2"/>
      <w:sz w:val="21"/>
      <w:szCs w:val="24"/>
    </w:rPr>
  </w:style>
  <w:style w:type="character" w:customStyle="1" w:styleId="252">
    <w:name w:val="标题 Char"/>
    <w:qFormat/>
    <w:uiPriority w:val="0"/>
    <w:rPr>
      <w:b/>
      <w:kern w:val="2"/>
      <w:sz w:val="32"/>
    </w:rPr>
  </w:style>
  <w:style w:type="paragraph" w:customStyle="1" w:styleId="253">
    <w:name w:val="图例"/>
    <w:basedOn w:val="1"/>
    <w:qFormat/>
    <w:uiPriority w:val="0"/>
    <w:pPr>
      <w:spacing w:before="120" w:after="120" w:line="360" w:lineRule="auto"/>
      <w:jc w:val="center"/>
    </w:pPr>
    <w:rPr>
      <w:rFonts w:eastAsia="仿宋_GB2312"/>
      <w:b/>
      <w:sz w:val="24"/>
      <w:szCs w:val="20"/>
    </w:rPr>
  </w:style>
  <w:style w:type="table" w:customStyle="1" w:styleId="254">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5">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256">
    <w:name w:val="正文首行缩进 2 Char"/>
    <w:qFormat/>
    <w:uiPriority w:val="99"/>
    <w:rPr>
      <w:kern w:val="2"/>
      <w:sz w:val="21"/>
      <w:szCs w:val="24"/>
    </w:rPr>
  </w:style>
  <w:style w:type="character" w:customStyle="1" w:styleId="257">
    <w:name w:val="纯文本 Char"/>
    <w:qFormat/>
    <w:uiPriority w:val="0"/>
    <w:rPr>
      <w:rFonts w:ascii="宋体" w:hAnsi="Courier New"/>
      <w:kern w:val="2"/>
      <w:sz w:val="21"/>
    </w:rPr>
  </w:style>
  <w:style w:type="character" w:customStyle="1" w:styleId="258">
    <w:name w:val="正文文本 Char"/>
    <w:qFormat/>
    <w:uiPriority w:val="0"/>
    <w:rPr>
      <w:rFonts w:ascii="宋体" w:hAnsi="宋体"/>
      <w:kern w:val="2"/>
      <w:sz w:val="24"/>
      <w:szCs w:val="24"/>
    </w:rPr>
  </w:style>
  <w:style w:type="character" w:customStyle="1" w:styleId="259">
    <w:name w:val="正文文本缩进 2 Char"/>
    <w:qFormat/>
    <w:uiPriority w:val="99"/>
    <w:rPr>
      <w:rFonts w:ascii="仿宋_GB2312" w:eastAsia="仿宋_GB2312"/>
      <w:kern w:val="2"/>
      <w:sz w:val="24"/>
      <w:szCs w:val="24"/>
    </w:rPr>
  </w:style>
  <w:style w:type="character" w:customStyle="1" w:styleId="260">
    <w:name w:val="style11"/>
    <w:qFormat/>
    <w:uiPriority w:val="0"/>
    <w:rPr>
      <w:color w:val="000000"/>
      <w:sz w:val="18"/>
      <w:szCs w:val="18"/>
    </w:rPr>
  </w:style>
  <w:style w:type="character" w:customStyle="1" w:styleId="261">
    <w:name w:val="标题 1 字符"/>
    <w:qFormat/>
    <w:uiPriority w:val="0"/>
    <w:rPr>
      <w:rFonts w:ascii="宋体"/>
      <w:b/>
      <w:kern w:val="44"/>
      <w:sz w:val="32"/>
    </w:rPr>
  </w:style>
  <w:style w:type="character" w:customStyle="1" w:styleId="262">
    <w:name w:val="标题 2 字符"/>
    <w:qFormat/>
    <w:uiPriority w:val="0"/>
    <w:rPr>
      <w:rFonts w:ascii="Arial" w:hAnsi="Arial" w:eastAsia="黑体"/>
      <w:b/>
      <w:sz w:val="30"/>
      <w:lang w:val="en-US" w:eastAsia="zh-CN" w:bidi="ar-SA"/>
    </w:rPr>
  </w:style>
  <w:style w:type="character" w:customStyle="1" w:styleId="263">
    <w:name w:val="正文缩进 字符"/>
    <w:qFormat/>
    <w:uiPriority w:val="0"/>
    <w:rPr>
      <w:rFonts w:ascii="宋体" w:eastAsia="宋体"/>
      <w:kern w:val="2"/>
      <w:sz w:val="24"/>
      <w:szCs w:val="24"/>
      <w:lang w:val="en-US" w:eastAsia="zh-CN" w:bidi="ar-SA"/>
    </w:rPr>
  </w:style>
  <w:style w:type="character" w:customStyle="1" w:styleId="264">
    <w:name w:val="标题 3 字符"/>
    <w:qFormat/>
    <w:uiPriority w:val="0"/>
    <w:rPr>
      <w:rFonts w:ascii="宋体" w:eastAsia="宋体"/>
      <w:b/>
      <w:sz w:val="24"/>
      <w:u w:val="single"/>
      <w:lang w:val="en-US" w:eastAsia="zh-CN" w:bidi="ar-SA"/>
    </w:rPr>
  </w:style>
  <w:style w:type="character" w:customStyle="1" w:styleId="265">
    <w:name w:val="标题 4 字符"/>
    <w:qFormat/>
    <w:uiPriority w:val="0"/>
    <w:rPr>
      <w:rFonts w:ascii="Arial" w:hAnsi="Arial" w:eastAsia="黑体"/>
      <w:b/>
      <w:sz w:val="28"/>
    </w:rPr>
  </w:style>
  <w:style w:type="character" w:customStyle="1" w:styleId="266">
    <w:name w:val="标题 5 字符"/>
    <w:qFormat/>
    <w:uiPriority w:val="0"/>
    <w:rPr>
      <w:b/>
      <w:sz w:val="28"/>
    </w:rPr>
  </w:style>
  <w:style w:type="character" w:customStyle="1" w:styleId="267">
    <w:name w:val="标题 6 字符"/>
    <w:qFormat/>
    <w:uiPriority w:val="0"/>
    <w:rPr>
      <w:rFonts w:ascii="Arial" w:hAnsi="Arial" w:eastAsia="黑体"/>
      <w:b/>
      <w:sz w:val="24"/>
    </w:rPr>
  </w:style>
  <w:style w:type="character" w:customStyle="1" w:styleId="268">
    <w:name w:val="标题 7 字符"/>
    <w:qFormat/>
    <w:uiPriority w:val="0"/>
    <w:rPr>
      <w:b/>
      <w:sz w:val="24"/>
    </w:rPr>
  </w:style>
  <w:style w:type="character" w:customStyle="1" w:styleId="269">
    <w:name w:val="标题 8 字符"/>
    <w:qFormat/>
    <w:uiPriority w:val="0"/>
    <w:rPr>
      <w:rFonts w:ascii="Arial" w:hAnsi="Arial" w:eastAsia="黑体"/>
      <w:sz w:val="24"/>
    </w:rPr>
  </w:style>
  <w:style w:type="character" w:customStyle="1" w:styleId="270">
    <w:name w:val="标题 9 字符"/>
    <w:qFormat/>
    <w:uiPriority w:val="0"/>
    <w:rPr>
      <w:rFonts w:ascii="Arial" w:hAnsi="Arial" w:eastAsia="黑体"/>
      <w:sz w:val="21"/>
    </w:rPr>
  </w:style>
  <w:style w:type="character" w:customStyle="1" w:styleId="271">
    <w:name w:val="文档结构图 字符"/>
    <w:qFormat/>
    <w:uiPriority w:val="0"/>
    <w:rPr>
      <w:kern w:val="2"/>
      <w:sz w:val="21"/>
      <w:szCs w:val="24"/>
      <w:shd w:val="clear" w:color="auto" w:fill="000080"/>
    </w:rPr>
  </w:style>
  <w:style w:type="character" w:customStyle="1" w:styleId="272">
    <w:name w:val="批注文字 字符1"/>
    <w:qFormat/>
    <w:uiPriority w:val="99"/>
    <w:rPr>
      <w:kern w:val="2"/>
      <w:sz w:val="21"/>
      <w:szCs w:val="24"/>
    </w:rPr>
  </w:style>
  <w:style w:type="character" w:customStyle="1" w:styleId="273">
    <w:name w:val="正文文本 3 字符"/>
    <w:qFormat/>
    <w:uiPriority w:val="0"/>
    <w:rPr>
      <w:kern w:val="2"/>
      <w:sz w:val="16"/>
      <w:szCs w:val="16"/>
    </w:rPr>
  </w:style>
  <w:style w:type="character" w:customStyle="1" w:styleId="274">
    <w:name w:val="正文文本 字符"/>
    <w:qFormat/>
    <w:uiPriority w:val="0"/>
    <w:rPr>
      <w:rFonts w:ascii="宋体" w:hAnsi="宋体"/>
      <w:kern w:val="2"/>
      <w:sz w:val="24"/>
      <w:szCs w:val="24"/>
    </w:rPr>
  </w:style>
  <w:style w:type="character" w:customStyle="1" w:styleId="275">
    <w:name w:val="正文文本缩进 字符"/>
    <w:qFormat/>
    <w:uiPriority w:val="0"/>
    <w:rPr>
      <w:rFonts w:eastAsia="宋体"/>
      <w:kern w:val="2"/>
      <w:sz w:val="24"/>
      <w:szCs w:val="24"/>
      <w:lang w:val="en-US" w:eastAsia="zh-CN" w:bidi="ar-SA"/>
    </w:rPr>
  </w:style>
  <w:style w:type="character" w:customStyle="1" w:styleId="276">
    <w:name w:val="纯文本 字符2"/>
    <w:qFormat/>
    <w:uiPriority w:val="0"/>
    <w:rPr>
      <w:rFonts w:hint="eastAsia" w:ascii="宋体" w:hAnsi="Courier New" w:eastAsia="宋体" w:cs="宋体"/>
      <w:kern w:val="2"/>
      <w:sz w:val="21"/>
    </w:rPr>
  </w:style>
  <w:style w:type="character" w:customStyle="1" w:styleId="277">
    <w:name w:val="日期 字符"/>
    <w:qFormat/>
    <w:uiPriority w:val="0"/>
    <w:rPr>
      <w:rFonts w:ascii="仿宋_GB2312" w:hAnsi="宋体" w:eastAsia="仿宋_GB2312"/>
      <w:color w:val="000000"/>
      <w:kern w:val="2"/>
      <w:sz w:val="24"/>
      <w:szCs w:val="24"/>
    </w:rPr>
  </w:style>
  <w:style w:type="character" w:customStyle="1" w:styleId="278">
    <w:name w:val="正文文本缩进 2 字符"/>
    <w:qFormat/>
    <w:uiPriority w:val="0"/>
    <w:rPr>
      <w:rFonts w:ascii="仿宋_GB2312" w:eastAsia="仿宋_GB2312"/>
      <w:kern w:val="2"/>
      <w:sz w:val="24"/>
      <w:szCs w:val="24"/>
    </w:rPr>
  </w:style>
  <w:style w:type="character" w:customStyle="1" w:styleId="279">
    <w:name w:val="批注框文本 字符"/>
    <w:qFormat/>
    <w:uiPriority w:val="0"/>
    <w:rPr>
      <w:kern w:val="2"/>
      <w:sz w:val="18"/>
      <w:szCs w:val="18"/>
    </w:rPr>
  </w:style>
  <w:style w:type="character" w:customStyle="1" w:styleId="280">
    <w:name w:val="页脚 字符"/>
    <w:qFormat/>
    <w:uiPriority w:val="99"/>
    <w:rPr>
      <w:rFonts w:ascii="宋体" w:eastAsia="宋体"/>
      <w:sz w:val="18"/>
      <w:lang w:val="en-US" w:eastAsia="zh-CN" w:bidi="ar-SA"/>
    </w:rPr>
  </w:style>
  <w:style w:type="character" w:customStyle="1" w:styleId="281">
    <w:name w:val="页眉 字符"/>
    <w:qFormat/>
    <w:uiPriority w:val="0"/>
    <w:rPr>
      <w:rFonts w:eastAsia="宋体"/>
      <w:kern w:val="2"/>
      <w:sz w:val="18"/>
      <w:szCs w:val="18"/>
      <w:lang w:val="en-US" w:eastAsia="zh-CN" w:bidi="ar-SA"/>
    </w:rPr>
  </w:style>
  <w:style w:type="character" w:customStyle="1" w:styleId="282">
    <w:name w:val="正文文本缩进 3 字符"/>
    <w:qFormat/>
    <w:uiPriority w:val="0"/>
    <w:rPr>
      <w:rFonts w:ascii="宋体"/>
      <w:sz w:val="24"/>
    </w:rPr>
  </w:style>
  <w:style w:type="character" w:customStyle="1" w:styleId="283">
    <w:name w:val="HTML 预设格式 字符"/>
    <w:qFormat/>
    <w:uiPriority w:val="0"/>
    <w:rPr>
      <w:rFonts w:ascii="宋体" w:hAnsi="宋体" w:cs="宋体"/>
      <w:sz w:val="24"/>
      <w:szCs w:val="24"/>
    </w:rPr>
  </w:style>
  <w:style w:type="character" w:customStyle="1" w:styleId="284">
    <w:name w:val="标题 字符"/>
    <w:qFormat/>
    <w:uiPriority w:val="0"/>
    <w:rPr>
      <w:b/>
      <w:kern w:val="2"/>
      <w:sz w:val="32"/>
    </w:rPr>
  </w:style>
  <w:style w:type="character" w:customStyle="1" w:styleId="285">
    <w:name w:val="批注主题 字符"/>
    <w:qFormat/>
    <w:uiPriority w:val="0"/>
    <w:rPr>
      <w:rFonts w:ascii="Times New Roman" w:hAnsi="Times New Roman" w:eastAsia="宋体" w:cs="Times New Roman"/>
      <w:b/>
      <w:bCs/>
      <w:kern w:val="2"/>
      <w:sz w:val="21"/>
      <w:szCs w:val="24"/>
      <w:lang w:val="en-US" w:eastAsia="zh-CN" w:bidi="ar-SA"/>
    </w:rPr>
  </w:style>
  <w:style w:type="character" w:customStyle="1" w:styleId="286">
    <w:name w:val="正文文本首行缩进 2 字符"/>
    <w:qFormat/>
    <w:uiPriority w:val="0"/>
    <w:rPr>
      <w:rFonts w:eastAsia="宋体"/>
      <w:kern w:val="2"/>
      <w:sz w:val="24"/>
      <w:szCs w:val="24"/>
      <w:lang w:val="en-US" w:eastAsia="zh-CN" w:bidi="ar-SA"/>
    </w:rPr>
  </w:style>
  <w:style w:type="paragraph" w:customStyle="1" w:styleId="28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88">
    <w:name w:val="Plain Text1"/>
    <w:basedOn w:val="1"/>
    <w:qFormat/>
    <w:uiPriority w:val="99"/>
    <w:pPr>
      <w:adjustRightInd w:val="0"/>
      <w:jc w:val="left"/>
    </w:pPr>
    <w:rPr>
      <w:rFonts w:ascii="宋体" w:hAnsi="Courier New" w:eastAsia="等线"/>
      <w:sz w:val="24"/>
      <w:szCs w:val="20"/>
    </w:rPr>
  </w:style>
  <w:style w:type="paragraph" w:customStyle="1" w:styleId="289">
    <w:name w:val="TOC 标题1"/>
    <w:basedOn w:val="4"/>
    <w:next w:val="1"/>
    <w:unhideWhenUsed/>
    <w:qFormat/>
    <w:uiPriority w:val="39"/>
    <w:pPr>
      <w:widowControl/>
      <w:autoSpaceDE/>
      <w:autoSpaceDN/>
      <w:adjustRightInd/>
      <w:spacing w:after="0" w:line="259" w:lineRule="auto"/>
      <w:jc w:val="left"/>
      <w:outlineLvl w:val="9"/>
    </w:pPr>
    <w:rPr>
      <w:rFonts w:asciiTheme="majorHAnsi" w:hAnsiTheme="majorHAnsi" w:eastAsiaTheme="majorEastAsia" w:cstheme="majorBidi"/>
      <w:b w:val="0"/>
      <w:color w:val="2F5597" w:themeColor="accent1" w:themeShade="BF"/>
      <w:kern w:val="0"/>
      <w:szCs w:val="32"/>
    </w:rPr>
  </w:style>
  <w:style w:type="character" w:customStyle="1" w:styleId="290">
    <w:name w:val="font21"/>
    <w:basedOn w:val="43"/>
    <w:qFormat/>
    <w:uiPriority w:val="99"/>
    <w:rPr>
      <w:rFonts w:ascii="宋体" w:hAnsi="宋体" w:eastAsia="宋体" w:cs="宋体"/>
      <w:color w:val="000000"/>
      <w:sz w:val="18"/>
      <w:szCs w:val="18"/>
      <w:u w:val="none"/>
    </w:rPr>
  </w:style>
  <w:style w:type="character" w:customStyle="1" w:styleId="291">
    <w:name w:val="font41"/>
    <w:basedOn w:val="43"/>
    <w:qFormat/>
    <w:uiPriority w:val="99"/>
    <w:rPr>
      <w:rFonts w:ascii="宋体" w:hAnsi="宋体" w:eastAsia="宋体" w:cs="宋体"/>
      <w:color w:val="000000"/>
      <w:sz w:val="18"/>
      <w:szCs w:val="18"/>
      <w:u w:val="none"/>
    </w:rPr>
  </w:style>
  <w:style w:type="character" w:customStyle="1" w:styleId="292">
    <w:name w:val="font122"/>
    <w:basedOn w:val="43"/>
    <w:qFormat/>
    <w:uiPriority w:val="99"/>
    <w:rPr>
      <w:rFonts w:ascii="微软雅黑" w:hAnsi="微软雅黑" w:eastAsia="微软雅黑" w:cs="微软雅黑"/>
      <w:b/>
      <w:bCs/>
      <w:color w:val="000000"/>
      <w:sz w:val="18"/>
      <w:szCs w:val="18"/>
      <w:u w:val="none"/>
    </w:rPr>
  </w:style>
  <w:style w:type="character" w:customStyle="1" w:styleId="293">
    <w:name w:val="font81"/>
    <w:basedOn w:val="43"/>
    <w:qFormat/>
    <w:uiPriority w:val="99"/>
    <w:rPr>
      <w:rFonts w:ascii="宋体" w:hAnsi="宋体" w:eastAsia="宋体" w:cs="宋体"/>
      <w:b/>
      <w:bCs/>
      <w:color w:val="000000"/>
      <w:sz w:val="18"/>
      <w:szCs w:val="18"/>
      <w:u w:val="none"/>
    </w:rPr>
  </w:style>
  <w:style w:type="character" w:customStyle="1" w:styleId="294">
    <w:name w:val="font131"/>
    <w:basedOn w:val="43"/>
    <w:qFormat/>
    <w:uiPriority w:val="99"/>
    <w:rPr>
      <w:rFonts w:ascii="Calibri" w:hAnsi="Calibri" w:cs="Calibri"/>
      <w:color w:val="FF0000"/>
      <w:sz w:val="18"/>
      <w:szCs w:val="18"/>
      <w:u w:val="none"/>
    </w:rPr>
  </w:style>
  <w:style w:type="character" w:customStyle="1" w:styleId="295">
    <w:name w:val="font101"/>
    <w:basedOn w:val="43"/>
    <w:qFormat/>
    <w:uiPriority w:val="99"/>
    <w:rPr>
      <w:rFonts w:ascii="宋体" w:hAnsi="宋体" w:eastAsia="宋体" w:cs="宋体"/>
      <w:color w:val="FF0000"/>
      <w:sz w:val="18"/>
      <w:szCs w:val="18"/>
      <w:u w:val="none"/>
    </w:rPr>
  </w:style>
  <w:style w:type="character" w:customStyle="1" w:styleId="296">
    <w:name w:val="font91"/>
    <w:basedOn w:val="43"/>
    <w:qFormat/>
    <w:uiPriority w:val="99"/>
    <w:rPr>
      <w:rFonts w:ascii="宋体" w:hAnsi="宋体" w:eastAsia="宋体" w:cs="宋体"/>
      <w:color w:val="FF0000"/>
      <w:sz w:val="18"/>
      <w:szCs w:val="18"/>
      <w:u w:val="none"/>
    </w:rPr>
  </w:style>
  <w:style w:type="character" w:customStyle="1" w:styleId="297">
    <w:name w:val="font31"/>
    <w:basedOn w:val="43"/>
    <w:qFormat/>
    <w:uiPriority w:val="99"/>
    <w:rPr>
      <w:rFonts w:ascii="宋体" w:hAnsi="宋体" w:eastAsia="宋体" w:cs="宋体"/>
      <w:color w:val="000000"/>
      <w:sz w:val="18"/>
      <w:szCs w:val="18"/>
      <w:u w:val="none"/>
    </w:rPr>
  </w:style>
  <w:style w:type="character" w:customStyle="1" w:styleId="298">
    <w:name w:val="font141"/>
    <w:basedOn w:val="43"/>
    <w:qFormat/>
    <w:uiPriority w:val="99"/>
    <w:rPr>
      <w:rFonts w:ascii="Arial" w:hAnsi="Arial" w:cs="Arial"/>
      <w:color w:val="000000"/>
      <w:sz w:val="18"/>
      <w:szCs w:val="18"/>
      <w:u w:val="none"/>
    </w:rPr>
  </w:style>
  <w:style w:type="paragraph" w:customStyle="1" w:styleId="299">
    <w:name w:val="正文文字缩进 2"/>
    <w:basedOn w:val="1"/>
    <w:qFormat/>
    <w:uiPriority w:val="0"/>
    <w:pPr>
      <w:spacing w:line="351" w:lineRule="atLeast"/>
      <w:ind w:firstLine="481"/>
      <w:textAlignment w:val="baseline"/>
    </w:pPr>
    <w:rPr>
      <w:rFonts w:ascii="仿宋_GB2312" w:eastAsia="仿宋_GB2312"/>
      <w:color w:val="000000"/>
      <w:sz w:val="24"/>
      <w:u w:color="000000"/>
    </w:rPr>
  </w:style>
  <w:style w:type="paragraph" w:customStyle="1" w:styleId="300">
    <w:name w:val="正文文字缩进 3"/>
    <w:basedOn w:val="1"/>
    <w:qFormat/>
    <w:uiPriority w:val="0"/>
    <w:pPr>
      <w:spacing w:before="119" w:line="272" w:lineRule="atLeast"/>
      <w:ind w:left="719" w:firstLine="481"/>
      <w:jc w:val="left"/>
      <w:textAlignment w:val="baseline"/>
    </w:pPr>
    <w:rPr>
      <w:rFonts w:ascii="宋体"/>
      <w:color w:val="000000"/>
      <w:sz w:val="24"/>
      <w:u w:color="000000"/>
    </w:rPr>
  </w:style>
  <w:style w:type="paragraph" w:customStyle="1" w:styleId="301">
    <w:name w:val="普通文字"/>
    <w:basedOn w:val="1"/>
    <w:qFormat/>
    <w:uiPriority w:val="0"/>
    <w:pPr>
      <w:spacing w:line="351" w:lineRule="atLeast"/>
      <w:ind w:firstLine="419"/>
      <w:textAlignment w:val="baseline"/>
    </w:pPr>
    <w:rPr>
      <w:rFonts w:ascii="宋体"/>
      <w:color w:val="000000"/>
      <w:u w:color="00000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CA6CD-F053-4569-8362-B86E73D5CF8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87</Pages>
  <Words>40359</Words>
  <Characters>43476</Characters>
  <Lines>352</Lines>
  <Paragraphs>99</Paragraphs>
  <TotalTime>0</TotalTime>
  <ScaleCrop>false</ScaleCrop>
  <LinksUpToDate>false</LinksUpToDate>
  <CharactersWithSpaces>45932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2022-04-26T08:24:00Z</dcterms:created>
  <dc:creator>尹皓</dc:creator>
  <cp:lastModifiedBy>周若晴</cp:lastModifiedBy>
  <cp:lastPrinted>2020-04-02T03:13:00Z</cp:lastPrinted>
  <dcterms:modified xsi:type="dcterms:W3CDTF">2023-04-25T06:33:55Z</dcterms:modified>
  <dc:title>02年杜范本稿</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BEC6661AAE054AA7A0E9842885059005</vt:lpwstr>
  </property>
</Properties>
</file>