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CA284">
      <w:pPr>
        <w:jc w:val="center"/>
        <w:rPr>
          <w:rFonts w:ascii="宋体" w:hAnsi="宋体"/>
          <w:b/>
          <w:color w:val="000000"/>
          <w:sz w:val="36"/>
        </w:rPr>
      </w:pPr>
    </w:p>
    <w:p w14:paraId="66336FCD">
      <w:pPr>
        <w:jc w:val="center"/>
        <w:rPr>
          <w:rFonts w:ascii="宋体" w:hAnsi="宋体"/>
          <w:b/>
          <w:color w:val="000000"/>
          <w:sz w:val="36"/>
        </w:rPr>
      </w:pPr>
    </w:p>
    <w:p w14:paraId="5E55011C">
      <w:pPr>
        <w:jc w:val="center"/>
        <w:rPr>
          <w:rFonts w:ascii="宋体" w:hAnsi="宋体"/>
          <w:b/>
          <w:color w:val="000000"/>
          <w:sz w:val="48"/>
          <w:szCs w:val="48"/>
          <w:highlight w:val="none"/>
        </w:rPr>
      </w:pPr>
      <w:r>
        <w:rPr>
          <w:rFonts w:hint="eastAsia" w:ascii="宋体" w:hAnsi="宋体"/>
          <w:b/>
          <w:color w:val="000000"/>
          <w:sz w:val="48"/>
          <w:szCs w:val="48"/>
          <w:highlight w:val="none"/>
        </w:rPr>
        <w:t>北京理工物业管理有限公司大客车购买项目</w:t>
      </w:r>
    </w:p>
    <w:p w14:paraId="7E186FC0">
      <w:pPr>
        <w:jc w:val="center"/>
        <w:rPr>
          <w:rFonts w:ascii="宋体" w:hAnsi="宋体"/>
          <w:b/>
          <w:color w:val="000000"/>
          <w:sz w:val="36"/>
          <w:szCs w:val="36"/>
        </w:rPr>
      </w:pPr>
    </w:p>
    <w:p w14:paraId="0A841E20">
      <w:pPr>
        <w:jc w:val="center"/>
        <w:rPr>
          <w:rFonts w:ascii="宋体" w:hAnsi="宋体"/>
          <w:b/>
          <w:color w:val="000000"/>
          <w:sz w:val="36"/>
          <w:szCs w:val="36"/>
        </w:rPr>
      </w:pPr>
    </w:p>
    <w:p w14:paraId="09847165">
      <w:pPr>
        <w:jc w:val="center"/>
        <w:rPr>
          <w:rFonts w:ascii="宋体" w:hAnsi="宋体"/>
          <w:b/>
          <w:color w:val="000000"/>
          <w:sz w:val="36"/>
          <w:szCs w:val="36"/>
        </w:rPr>
      </w:pPr>
      <w:r>
        <w:rPr>
          <w:rFonts w:hint="eastAsia" w:ascii="宋体" w:hAnsi="宋体"/>
          <w:b/>
          <w:color w:val="000000"/>
          <w:sz w:val="36"/>
          <w:szCs w:val="36"/>
        </w:rPr>
        <w:t>招标编号：BMCC-ZC24-1532</w:t>
      </w:r>
    </w:p>
    <w:p w14:paraId="38FED2E9">
      <w:pPr>
        <w:jc w:val="center"/>
        <w:rPr>
          <w:rFonts w:ascii="宋体" w:hAnsi="宋体"/>
          <w:b/>
          <w:color w:val="000000"/>
          <w:sz w:val="36"/>
          <w:szCs w:val="36"/>
        </w:rPr>
      </w:pPr>
    </w:p>
    <w:p w14:paraId="22EDF65C">
      <w:pPr>
        <w:spacing w:line="400" w:lineRule="atLeast"/>
        <w:rPr>
          <w:rFonts w:ascii="宋体" w:hAnsi="宋体"/>
          <w:color w:val="000000"/>
          <w:sz w:val="44"/>
          <w:szCs w:val="44"/>
        </w:rPr>
      </w:pPr>
    </w:p>
    <w:p w14:paraId="1E10E65D">
      <w:pPr>
        <w:spacing w:line="400" w:lineRule="atLeast"/>
        <w:outlineLvl w:val="0"/>
        <w:rPr>
          <w:rFonts w:ascii="宋体" w:hAnsi="宋体"/>
          <w:color w:val="000000"/>
          <w:sz w:val="72"/>
          <w:szCs w:val="72"/>
        </w:rPr>
      </w:pPr>
      <w:r>
        <w:rPr>
          <w:rFonts w:hint="eastAsia" w:ascii="宋体" w:hAnsi="宋体"/>
          <w:b/>
          <w:color w:val="000000"/>
          <w:sz w:val="72"/>
          <w:szCs w:val="72"/>
        </w:rPr>
        <w:t xml:space="preserve">  </w:t>
      </w:r>
      <w:r>
        <w:rPr>
          <w:rFonts w:ascii="宋体" w:hAnsi="宋体"/>
          <w:b/>
          <w:color w:val="000000"/>
          <w:sz w:val="72"/>
          <w:szCs w:val="72"/>
        </w:rPr>
        <w:t xml:space="preserve">     </w:t>
      </w:r>
      <w:r>
        <w:rPr>
          <w:rFonts w:hint="eastAsia" w:ascii="宋体" w:hAnsi="宋体"/>
          <w:b/>
          <w:color w:val="000000"/>
          <w:sz w:val="72"/>
          <w:szCs w:val="72"/>
        </w:rPr>
        <w:t>招 标 文 件</w:t>
      </w:r>
    </w:p>
    <w:p w14:paraId="09624771">
      <w:pPr>
        <w:spacing w:line="400" w:lineRule="atLeast"/>
        <w:jc w:val="center"/>
        <w:rPr>
          <w:rFonts w:ascii="宋体" w:hAnsi="宋体"/>
          <w:b/>
          <w:color w:val="000000"/>
          <w:sz w:val="44"/>
          <w:szCs w:val="44"/>
        </w:rPr>
      </w:pPr>
      <w:r>
        <w:rPr>
          <w:rFonts w:hint="eastAsia" w:ascii="宋体" w:hAnsi="宋体"/>
          <w:b/>
          <w:color w:val="000000"/>
          <w:sz w:val="44"/>
          <w:szCs w:val="44"/>
        </w:rPr>
        <w:t xml:space="preserve">          </w:t>
      </w:r>
    </w:p>
    <w:p w14:paraId="1A5B82BC">
      <w:pPr>
        <w:spacing w:line="400" w:lineRule="atLeast"/>
        <w:jc w:val="center"/>
        <w:rPr>
          <w:rFonts w:ascii="宋体" w:hAnsi="宋体"/>
          <w:color w:val="000000"/>
          <w:sz w:val="44"/>
          <w:szCs w:val="44"/>
        </w:rPr>
      </w:pPr>
      <w:r>
        <w:rPr>
          <w:rFonts w:ascii="宋体" w:hAnsi="宋体"/>
          <w:b/>
          <w:color w:val="000000"/>
          <w:sz w:val="52"/>
        </w:rPr>
        <w:drawing>
          <wp:inline distT="0" distB="0" distL="0" distR="0">
            <wp:extent cx="3433445" cy="2423795"/>
            <wp:effectExtent l="0" t="0" r="0" b="0"/>
            <wp:docPr id="4" name="图片 3"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明德致信-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433445" cy="2423795"/>
                    </a:xfrm>
                    <a:prstGeom prst="rect">
                      <a:avLst/>
                    </a:prstGeom>
                    <a:noFill/>
                    <a:ln>
                      <a:noFill/>
                    </a:ln>
                  </pic:spPr>
                </pic:pic>
              </a:graphicData>
            </a:graphic>
          </wp:inline>
        </w:drawing>
      </w:r>
    </w:p>
    <w:p w14:paraId="43B3211E">
      <w:pPr>
        <w:spacing w:line="400" w:lineRule="atLeast"/>
        <w:jc w:val="center"/>
        <w:rPr>
          <w:rFonts w:ascii="宋体" w:hAnsi="宋体"/>
          <w:color w:val="000000"/>
          <w:sz w:val="44"/>
          <w:szCs w:val="44"/>
        </w:rPr>
      </w:pPr>
    </w:p>
    <w:p w14:paraId="4A0A45ED">
      <w:pPr>
        <w:spacing w:line="400" w:lineRule="atLeast"/>
        <w:jc w:val="center"/>
        <w:rPr>
          <w:rFonts w:ascii="宋体" w:hAnsi="宋体"/>
          <w:color w:val="000000"/>
          <w:sz w:val="44"/>
          <w:szCs w:val="44"/>
        </w:rPr>
      </w:pPr>
    </w:p>
    <w:p w14:paraId="072980A0">
      <w:pPr>
        <w:spacing w:line="400" w:lineRule="atLeast"/>
        <w:jc w:val="center"/>
        <w:rPr>
          <w:rFonts w:ascii="宋体" w:hAnsi="宋体"/>
          <w:color w:val="000000"/>
          <w:sz w:val="44"/>
          <w:szCs w:val="44"/>
        </w:rPr>
      </w:pPr>
    </w:p>
    <w:p w14:paraId="5E382056">
      <w:pPr>
        <w:spacing w:line="400" w:lineRule="atLeast"/>
        <w:jc w:val="center"/>
        <w:rPr>
          <w:rFonts w:ascii="宋体" w:hAnsi="宋体"/>
          <w:color w:val="000000"/>
          <w:sz w:val="44"/>
          <w:szCs w:val="44"/>
        </w:rPr>
      </w:pPr>
    </w:p>
    <w:p w14:paraId="2A3D7582">
      <w:pPr>
        <w:spacing w:line="400" w:lineRule="atLeast"/>
        <w:jc w:val="center"/>
        <w:outlineLvl w:val="0"/>
        <w:rPr>
          <w:rFonts w:ascii="宋体" w:hAnsi="宋体"/>
          <w:b/>
          <w:color w:val="000000"/>
          <w:sz w:val="36"/>
          <w:szCs w:val="36"/>
        </w:rPr>
      </w:pPr>
      <w:r>
        <w:rPr>
          <w:rFonts w:hint="eastAsia" w:ascii="宋体" w:hAnsi="宋体"/>
          <w:b/>
          <w:color w:val="000000"/>
          <w:sz w:val="36"/>
          <w:szCs w:val="36"/>
        </w:rPr>
        <w:t xml:space="preserve">  北京明德致信咨询有限公司</w:t>
      </w:r>
    </w:p>
    <w:p w14:paraId="12D1D625">
      <w:pPr>
        <w:spacing w:line="400" w:lineRule="atLeast"/>
        <w:jc w:val="center"/>
        <w:rPr>
          <w:rFonts w:ascii="宋体" w:hAnsi="宋体"/>
          <w:b/>
          <w:color w:val="000000"/>
          <w:sz w:val="36"/>
          <w:szCs w:val="36"/>
        </w:rPr>
      </w:pPr>
    </w:p>
    <w:p w14:paraId="135C25EA">
      <w:pPr>
        <w:jc w:val="center"/>
        <w:rPr>
          <w:rFonts w:ascii="宋体" w:hAnsi="宋体"/>
          <w:b/>
          <w:color w:val="000000"/>
          <w:sz w:val="36"/>
          <w:szCs w:val="36"/>
        </w:rPr>
        <w:sectPr>
          <w:footerReference r:id="rId6" w:type="first"/>
          <w:headerReference r:id="rId3" w:type="default"/>
          <w:footerReference r:id="rId4" w:type="default"/>
          <w:footerReference r:id="rId5" w:type="even"/>
          <w:pgSz w:w="11907" w:h="16840"/>
          <w:pgMar w:top="1440" w:right="1701" w:bottom="1440" w:left="1701" w:header="851" w:footer="992" w:gutter="0"/>
          <w:pgNumType w:start="0"/>
          <w:cols w:space="720" w:num="1"/>
          <w:titlePg/>
        </w:sectPr>
      </w:pPr>
      <w:r>
        <w:rPr>
          <w:rFonts w:ascii="宋体" w:hAnsi="宋体"/>
          <w:b/>
          <w:color w:val="000000"/>
          <w:sz w:val="36"/>
          <w:szCs w:val="36"/>
        </w:rPr>
        <w:t xml:space="preserve">  </w:t>
      </w:r>
      <w:r>
        <w:rPr>
          <w:rFonts w:hint="eastAsia" w:ascii="宋体" w:hAnsi="宋体"/>
          <w:b/>
          <w:color w:val="000000"/>
          <w:sz w:val="36"/>
          <w:szCs w:val="36"/>
        </w:rPr>
        <w:t>2025年1</w:t>
      </w:r>
      <w:r>
        <w:rPr>
          <w:rFonts w:ascii="宋体" w:hAnsi="宋体"/>
          <w:b/>
          <w:color w:val="000000"/>
          <w:sz w:val="36"/>
          <w:szCs w:val="36"/>
        </w:rPr>
        <w:t>月</w:t>
      </w:r>
    </w:p>
    <w:p w14:paraId="0195971E">
      <w:pPr>
        <w:pStyle w:val="41"/>
      </w:pPr>
    </w:p>
    <w:p w14:paraId="62D30222">
      <w:pPr>
        <w:widowControl/>
        <w:jc w:val="center"/>
        <w:outlineLvl w:val="0"/>
        <w:rPr>
          <w:rFonts w:ascii="宋体" w:hAnsi="宋体"/>
          <w:b/>
          <w:color w:val="000000"/>
          <w:sz w:val="24"/>
          <w:szCs w:val="24"/>
        </w:rPr>
      </w:pPr>
    </w:p>
    <w:p w14:paraId="5405C0F2">
      <w:pPr>
        <w:widowControl/>
        <w:jc w:val="center"/>
        <w:outlineLvl w:val="0"/>
        <w:rPr>
          <w:rFonts w:ascii="宋体" w:hAnsi="宋体"/>
          <w:b/>
          <w:color w:val="000000"/>
          <w:sz w:val="24"/>
          <w:szCs w:val="24"/>
        </w:rPr>
      </w:pPr>
      <w:r>
        <w:rPr>
          <w:rFonts w:hint="eastAsia" w:ascii="宋体" w:hAnsi="宋体"/>
          <w:b/>
          <w:color w:val="000000"/>
          <w:sz w:val="24"/>
          <w:szCs w:val="24"/>
        </w:rPr>
        <w:t>目   录</w:t>
      </w:r>
    </w:p>
    <w:p w14:paraId="7BC7ED1C">
      <w:pPr>
        <w:widowControl/>
        <w:jc w:val="center"/>
        <w:outlineLvl w:val="0"/>
        <w:rPr>
          <w:rFonts w:ascii="宋体" w:hAnsi="宋体"/>
          <w:b/>
          <w:color w:val="000000"/>
          <w:sz w:val="24"/>
          <w:szCs w:val="24"/>
        </w:rPr>
      </w:pPr>
    </w:p>
    <w:p w14:paraId="3FE04C46">
      <w:pPr>
        <w:pStyle w:val="29"/>
        <w:tabs>
          <w:tab w:val="right" w:leader="dot" w:pos="8312"/>
          <w:tab w:val="clear" w:pos="840"/>
          <w:tab w:val="clear" w:pos="8302"/>
        </w:tabs>
        <w:rPr>
          <w:sz w:val="28"/>
          <w:szCs w:val="28"/>
        </w:rPr>
      </w:pPr>
      <w:r>
        <w:rPr>
          <w:rFonts w:hint="eastAsia"/>
          <w:b/>
          <w:caps/>
          <w:smallCaps/>
          <w:color w:val="000000"/>
          <w:sz w:val="28"/>
          <w:szCs w:val="28"/>
        </w:rPr>
        <w:fldChar w:fldCharType="begin"/>
      </w:r>
      <w:r>
        <w:rPr>
          <w:rFonts w:hint="eastAsia"/>
          <w:b/>
          <w:caps/>
          <w:smallCaps/>
          <w:color w:val="000000"/>
          <w:sz w:val="28"/>
          <w:szCs w:val="28"/>
        </w:rPr>
        <w:instrText xml:space="preserve"> TOC \o "1-1" \h \z </w:instrText>
      </w:r>
      <w:r>
        <w:rPr>
          <w:rFonts w:hint="eastAsia"/>
          <w:b/>
          <w:caps/>
          <w:smallCaps/>
          <w:color w:val="000000"/>
          <w:sz w:val="28"/>
          <w:szCs w:val="28"/>
        </w:rPr>
        <w:fldChar w:fldCharType="separate"/>
      </w:r>
      <w:r>
        <w:fldChar w:fldCharType="begin"/>
      </w:r>
      <w:r>
        <w:instrText xml:space="preserve"> HYPERLINK \l "_Toc22599" </w:instrText>
      </w:r>
      <w:r>
        <w:fldChar w:fldCharType="separate"/>
      </w:r>
      <w:r>
        <w:rPr>
          <w:rFonts w:hint="eastAsia"/>
          <w:sz w:val="28"/>
          <w:szCs w:val="28"/>
        </w:rPr>
        <w:t>第一章  投 标 邀 请</w:t>
      </w:r>
      <w:r>
        <w:rPr>
          <w:sz w:val="28"/>
          <w:szCs w:val="28"/>
        </w:rPr>
        <w:tab/>
      </w:r>
      <w:r>
        <w:rPr>
          <w:sz w:val="28"/>
          <w:szCs w:val="28"/>
        </w:rPr>
        <w:fldChar w:fldCharType="begin"/>
      </w:r>
      <w:r>
        <w:rPr>
          <w:sz w:val="28"/>
          <w:szCs w:val="28"/>
        </w:rPr>
        <w:instrText xml:space="preserve"> PAGEREF _Toc22599 \h </w:instrText>
      </w:r>
      <w:r>
        <w:rPr>
          <w:sz w:val="28"/>
          <w:szCs w:val="28"/>
        </w:rPr>
        <w:fldChar w:fldCharType="separate"/>
      </w:r>
      <w:r>
        <w:rPr>
          <w:sz w:val="28"/>
          <w:szCs w:val="28"/>
        </w:rPr>
        <w:t>2</w:t>
      </w:r>
      <w:r>
        <w:rPr>
          <w:sz w:val="28"/>
          <w:szCs w:val="28"/>
        </w:rPr>
        <w:fldChar w:fldCharType="end"/>
      </w:r>
      <w:r>
        <w:rPr>
          <w:sz w:val="28"/>
          <w:szCs w:val="28"/>
        </w:rPr>
        <w:fldChar w:fldCharType="end"/>
      </w:r>
    </w:p>
    <w:p w14:paraId="1ADAF213">
      <w:pPr>
        <w:pStyle w:val="29"/>
        <w:tabs>
          <w:tab w:val="right" w:leader="dot" w:pos="8312"/>
          <w:tab w:val="clear" w:pos="840"/>
          <w:tab w:val="clear" w:pos="8302"/>
        </w:tabs>
        <w:rPr>
          <w:sz w:val="28"/>
          <w:szCs w:val="28"/>
        </w:rPr>
      </w:pPr>
      <w:r>
        <w:fldChar w:fldCharType="begin"/>
      </w:r>
      <w:r>
        <w:instrText xml:space="preserve"> HYPERLINK \l "_Toc2382" </w:instrText>
      </w:r>
      <w:r>
        <w:fldChar w:fldCharType="separate"/>
      </w:r>
      <w:r>
        <w:rPr>
          <w:rFonts w:hint="eastAsia"/>
          <w:sz w:val="28"/>
          <w:szCs w:val="28"/>
        </w:rPr>
        <w:t>第二章  投标资料表</w:t>
      </w:r>
      <w:r>
        <w:rPr>
          <w:sz w:val="28"/>
          <w:szCs w:val="28"/>
        </w:rPr>
        <w:tab/>
      </w:r>
      <w:r>
        <w:rPr>
          <w:sz w:val="28"/>
          <w:szCs w:val="28"/>
        </w:rPr>
        <w:fldChar w:fldCharType="begin"/>
      </w:r>
      <w:r>
        <w:rPr>
          <w:sz w:val="28"/>
          <w:szCs w:val="28"/>
        </w:rPr>
        <w:instrText xml:space="preserve"> PAGEREF _Toc2382 \h </w:instrText>
      </w:r>
      <w:r>
        <w:rPr>
          <w:sz w:val="28"/>
          <w:szCs w:val="28"/>
        </w:rPr>
        <w:fldChar w:fldCharType="separate"/>
      </w:r>
      <w:r>
        <w:rPr>
          <w:sz w:val="28"/>
          <w:szCs w:val="28"/>
        </w:rPr>
        <w:t>4</w:t>
      </w:r>
      <w:r>
        <w:rPr>
          <w:sz w:val="28"/>
          <w:szCs w:val="28"/>
        </w:rPr>
        <w:fldChar w:fldCharType="end"/>
      </w:r>
      <w:r>
        <w:rPr>
          <w:sz w:val="28"/>
          <w:szCs w:val="28"/>
        </w:rPr>
        <w:fldChar w:fldCharType="end"/>
      </w:r>
    </w:p>
    <w:p w14:paraId="5C8571CE">
      <w:pPr>
        <w:pStyle w:val="29"/>
        <w:tabs>
          <w:tab w:val="right" w:leader="dot" w:pos="8312"/>
          <w:tab w:val="clear" w:pos="840"/>
          <w:tab w:val="clear" w:pos="8302"/>
        </w:tabs>
        <w:rPr>
          <w:sz w:val="28"/>
          <w:szCs w:val="28"/>
        </w:rPr>
      </w:pPr>
      <w:r>
        <w:fldChar w:fldCharType="begin"/>
      </w:r>
      <w:r>
        <w:instrText xml:space="preserve"> HYPERLINK \l "_Toc15603" </w:instrText>
      </w:r>
      <w:r>
        <w:fldChar w:fldCharType="separate"/>
      </w:r>
      <w:r>
        <w:rPr>
          <w:rFonts w:hint="eastAsia"/>
          <w:sz w:val="28"/>
          <w:szCs w:val="28"/>
        </w:rPr>
        <w:t>第三章  投标人须知</w:t>
      </w:r>
      <w:r>
        <w:rPr>
          <w:sz w:val="28"/>
          <w:szCs w:val="28"/>
        </w:rPr>
        <w:tab/>
      </w:r>
      <w:r>
        <w:rPr>
          <w:sz w:val="28"/>
          <w:szCs w:val="28"/>
        </w:rPr>
        <w:fldChar w:fldCharType="begin"/>
      </w:r>
      <w:r>
        <w:rPr>
          <w:sz w:val="28"/>
          <w:szCs w:val="28"/>
        </w:rPr>
        <w:instrText xml:space="preserve"> PAGEREF _Toc15603 \h </w:instrText>
      </w:r>
      <w:r>
        <w:rPr>
          <w:sz w:val="28"/>
          <w:szCs w:val="28"/>
        </w:rPr>
        <w:fldChar w:fldCharType="separate"/>
      </w:r>
      <w:r>
        <w:rPr>
          <w:sz w:val="28"/>
          <w:szCs w:val="28"/>
        </w:rPr>
        <w:t>6</w:t>
      </w:r>
      <w:r>
        <w:rPr>
          <w:sz w:val="28"/>
          <w:szCs w:val="28"/>
        </w:rPr>
        <w:fldChar w:fldCharType="end"/>
      </w:r>
      <w:r>
        <w:rPr>
          <w:sz w:val="28"/>
          <w:szCs w:val="28"/>
        </w:rPr>
        <w:fldChar w:fldCharType="end"/>
      </w:r>
    </w:p>
    <w:p w14:paraId="066BE0CE">
      <w:pPr>
        <w:pStyle w:val="29"/>
        <w:tabs>
          <w:tab w:val="right" w:leader="dot" w:pos="8312"/>
          <w:tab w:val="clear" w:pos="840"/>
          <w:tab w:val="clear" w:pos="8302"/>
        </w:tabs>
        <w:rPr>
          <w:sz w:val="28"/>
          <w:szCs w:val="28"/>
        </w:rPr>
      </w:pPr>
      <w:r>
        <w:fldChar w:fldCharType="begin"/>
      </w:r>
      <w:r>
        <w:instrText xml:space="preserve"> HYPERLINK \l "_Toc30473" </w:instrText>
      </w:r>
      <w:r>
        <w:fldChar w:fldCharType="separate"/>
      </w:r>
      <w:r>
        <w:rPr>
          <w:rFonts w:hint="eastAsia"/>
          <w:bCs/>
          <w:kern w:val="44"/>
          <w:sz w:val="28"/>
          <w:szCs w:val="28"/>
        </w:rPr>
        <w:t>第四章  合同条款</w:t>
      </w:r>
      <w:r>
        <w:rPr>
          <w:sz w:val="28"/>
          <w:szCs w:val="28"/>
        </w:rPr>
        <w:tab/>
      </w:r>
      <w:r>
        <w:rPr>
          <w:sz w:val="28"/>
          <w:szCs w:val="28"/>
        </w:rPr>
        <w:fldChar w:fldCharType="begin"/>
      </w:r>
      <w:r>
        <w:rPr>
          <w:sz w:val="28"/>
          <w:szCs w:val="28"/>
        </w:rPr>
        <w:instrText xml:space="preserve"> PAGEREF _Toc30473 \h </w:instrText>
      </w:r>
      <w:r>
        <w:rPr>
          <w:sz w:val="28"/>
          <w:szCs w:val="28"/>
        </w:rPr>
        <w:fldChar w:fldCharType="separate"/>
      </w:r>
      <w:r>
        <w:rPr>
          <w:sz w:val="28"/>
          <w:szCs w:val="28"/>
        </w:rPr>
        <w:t>22</w:t>
      </w:r>
      <w:r>
        <w:rPr>
          <w:sz w:val="28"/>
          <w:szCs w:val="28"/>
        </w:rPr>
        <w:fldChar w:fldCharType="end"/>
      </w:r>
      <w:r>
        <w:rPr>
          <w:sz w:val="28"/>
          <w:szCs w:val="28"/>
        </w:rPr>
        <w:fldChar w:fldCharType="end"/>
      </w:r>
    </w:p>
    <w:p w14:paraId="739BE0B3">
      <w:pPr>
        <w:pStyle w:val="29"/>
        <w:tabs>
          <w:tab w:val="right" w:leader="dot" w:pos="8312"/>
          <w:tab w:val="clear" w:pos="840"/>
          <w:tab w:val="clear" w:pos="8302"/>
        </w:tabs>
        <w:rPr>
          <w:sz w:val="28"/>
          <w:szCs w:val="28"/>
        </w:rPr>
      </w:pPr>
      <w:r>
        <w:fldChar w:fldCharType="begin"/>
      </w:r>
      <w:r>
        <w:instrText xml:space="preserve"> HYPERLINK \l "_Toc3620" </w:instrText>
      </w:r>
      <w:r>
        <w:fldChar w:fldCharType="separate"/>
      </w:r>
      <w:r>
        <w:rPr>
          <w:rFonts w:hint="eastAsia"/>
          <w:sz w:val="28"/>
          <w:szCs w:val="28"/>
        </w:rPr>
        <w:t xml:space="preserve">第五章 </w:t>
      </w:r>
      <w:r>
        <w:rPr>
          <w:sz w:val="28"/>
          <w:szCs w:val="28"/>
        </w:rPr>
        <w:t xml:space="preserve"> </w:t>
      </w:r>
      <w:r>
        <w:rPr>
          <w:rFonts w:hint="eastAsia"/>
          <w:sz w:val="28"/>
          <w:szCs w:val="28"/>
        </w:rPr>
        <w:t>货物需求及服务需求</w:t>
      </w:r>
      <w:bookmarkStart w:id="70" w:name="_GoBack"/>
      <w:bookmarkEnd w:id="70"/>
      <w:r>
        <w:rPr>
          <w:sz w:val="28"/>
          <w:szCs w:val="28"/>
        </w:rPr>
        <w:tab/>
      </w:r>
      <w:r>
        <w:rPr>
          <w:sz w:val="28"/>
          <w:szCs w:val="28"/>
        </w:rPr>
        <w:fldChar w:fldCharType="begin"/>
      </w:r>
      <w:r>
        <w:rPr>
          <w:sz w:val="28"/>
          <w:szCs w:val="28"/>
        </w:rPr>
        <w:instrText xml:space="preserve"> PAGEREF _Toc3620 \h </w:instrText>
      </w:r>
      <w:r>
        <w:rPr>
          <w:sz w:val="28"/>
          <w:szCs w:val="28"/>
        </w:rPr>
        <w:fldChar w:fldCharType="separate"/>
      </w:r>
      <w:r>
        <w:rPr>
          <w:sz w:val="28"/>
          <w:szCs w:val="28"/>
        </w:rPr>
        <w:t>29</w:t>
      </w:r>
      <w:r>
        <w:rPr>
          <w:sz w:val="28"/>
          <w:szCs w:val="28"/>
        </w:rPr>
        <w:fldChar w:fldCharType="end"/>
      </w:r>
      <w:r>
        <w:rPr>
          <w:sz w:val="28"/>
          <w:szCs w:val="28"/>
        </w:rPr>
        <w:fldChar w:fldCharType="end"/>
      </w:r>
    </w:p>
    <w:p w14:paraId="3E083720">
      <w:pPr>
        <w:pStyle w:val="29"/>
        <w:tabs>
          <w:tab w:val="right" w:leader="dot" w:pos="8312"/>
          <w:tab w:val="clear" w:pos="840"/>
          <w:tab w:val="clear" w:pos="8302"/>
        </w:tabs>
        <w:rPr>
          <w:sz w:val="28"/>
          <w:szCs w:val="28"/>
        </w:rPr>
      </w:pPr>
      <w:r>
        <w:fldChar w:fldCharType="begin"/>
      </w:r>
      <w:r>
        <w:instrText xml:space="preserve"> HYPERLINK \l "_Toc27500" </w:instrText>
      </w:r>
      <w:r>
        <w:fldChar w:fldCharType="separate"/>
      </w:r>
      <w:r>
        <w:rPr>
          <w:rFonts w:hint="eastAsia"/>
          <w:sz w:val="28"/>
          <w:szCs w:val="28"/>
        </w:rPr>
        <w:t>第六章  附件</w:t>
      </w:r>
      <w:r>
        <w:rPr>
          <w:sz w:val="28"/>
          <w:szCs w:val="28"/>
        </w:rPr>
        <w:tab/>
      </w:r>
      <w:r>
        <w:rPr>
          <w:sz w:val="28"/>
          <w:szCs w:val="28"/>
        </w:rPr>
        <w:fldChar w:fldCharType="begin"/>
      </w:r>
      <w:r>
        <w:rPr>
          <w:sz w:val="28"/>
          <w:szCs w:val="28"/>
        </w:rPr>
        <w:instrText xml:space="preserve"> PAGEREF _Toc27500 \h </w:instrText>
      </w:r>
      <w:r>
        <w:rPr>
          <w:sz w:val="28"/>
          <w:szCs w:val="28"/>
        </w:rPr>
        <w:fldChar w:fldCharType="separate"/>
      </w:r>
      <w:r>
        <w:rPr>
          <w:sz w:val="28"/>
          <w:szCs w:val="28"/>
        </w:rPr>
        <w:t>32</w:t>
      </w:r>
      <w:r>
        <w:rPr>
          <w:sz w:val="28"/>
          <w:szCs w:val="28"/>
        </w:rPr>
        <w:fldChar w:fldCharType="end"/>
      </w:r>
      <w:r>
        <w:rPr>
          <w:sz w:val="28"/>
          <w:szCs w:val="28"/>
        </w:rPr>
        <w:fldChar w:fldCharType="end"/>
      </w:r>
    </w:p>
    <w:p w14:paraId="5C37A974">
      <w:pPr>
        <w:pStyle w:val="29"/>
        <w:tabs>
          <w:tab w:val="right" w:leader="dot" w:pos="8312"/>
          <w:tab w:val="clear" w:pos="840"/>
          <w:tab w:val="clear" w:pos="8302"/>
        </w:tabs>
        <w:rPr>
          <w:sz w:val="28"/>
          <w:szCs w:val="28"/>
        </w:rPr>
      </w:pPr>
      <w:r>
        <w:fldChar w:fldCharType="begin"/>
      </w:r>
      <w:r>
        <w:instrText xml:space="preserve"> HYPERLINK \l "_Toc21432" </w:instrText>
      </w:r>
      <w:r>
        <w:fldChar w:fldCharType="separate"/>
      </w:r>
      <w:r>
        <w:rPr>
          <w:rFonts w:hint="eastAsia"/>
          <w:sz w:val="28"/>
          <w:szCs w:val="28"/>
        </w:rPr>
        <w:t>第七章  评标标准</w:t>
      </w:r>
      <w:r>
        <w:rPr>
          <w:sz w:val="28"/>
          <w:szCs w:val="28"/>
        </w:rPr>
        <w:tab/>
      </w:r>
      <w:r>
        <w:rPr>
          <w:sz w:val="28"/>
          <w:szCs w:val="28"/>
        </w:rPr>
        <w:fldChar w:fldCharType="begin"/>
      </w:r>
      <w:r>
        <w:rPr>
          <w:sz w:val="28"/>
          <w:szCs w:val="28"/>
        </w:rPr>
        <w:instrText xml:space="preserve"> PAGEREF _Toc21432 \h </w:instrText>
      </w:r>
      <w:r>
        <w:rPr>
          <w:sz w:val="28"/>
          <w:szCs w:val="28"/>
        </w:rPr>
        <w:fldChar w:fldCharType="separate"/>
      </w:r>
      <w:r>
        <w:rPr>
          <w:sz w:val="28"/>
          <w:szCs w:val="28"/>
        </w:rPr>
        <w:t>47</w:t>
      </w:r>
      <w:r>
        <w:rPr>
          <w:sz w:val="28"/>
          <w:szCs w:val="28"/>
        </w:rPr>
        <w:fldChar w:fldCharType="end"/>
      </w:r>
      <w:r>
        <w:rPr>
          <w:sz w:val="28"/>
          <w:szCs w:val="28"/>
        </w:rPr>
        <w:fldChar w:fldCharType="end"/>
      </w:r>
    </w:p>
    <w:p w14:paraId="5E6CB762">
      <w:pPr>
        <w:pStyle w:val="36"/>
        <w:tabs>
          <w:tab w:val="right" w:leader="dot" w:pos="8495"/>
        </w:tabs>
        <w:spacing w:line="360" w:lineRule="auto"/>
        <w:rPr>
          <w:rFonts w:ascii="宋体" w:hAnsi="宋体"/>
          <w:smallCaps w:val="0"/>
          <w:color w:val="000000"/>
          <w:sz w:val="24"/>
          <w:szCs w:val="24"/>
        </w:rPr>
      </w:pPr>
      <w:r>
        <w:rPr>
          <w:rFonts w:hint="eastAsia" w:ascii="宋体" w:hAnsi="宋体"/>
          <w:smallCaps w:val="0"/>
          <w:color w:val="000000"/>
          <w:sz w:val="28"/>
          <w:szCs w:val="28"/>
        </w:rPr>
        <w:fldChar w:fldCharType="end"/>
      </w:r>
      <w:bookmarkStart w:id="0" w:name="_Toc73427775"/>
    </w:p>
    <w:p w14:paraId="0BC40831">
      <w:pPr>
        <w:rPr>
          <w:rFonts w:ascii="宋体" w:hAnsi="宋体"/>
          <w:color w:val="000000"/>
        </w:rPr>
      </w:pPr>
    </w:p>
    <w:p w14:paraId="7A7AEE41">
      <w:pPr>
        <w:rPr>
          <w:rFonts w:ascii="宋体" w:hAnsi="宋体"/>
          <w:color w:val="000000"/>
        </w:rPr>
      </w:pPr>
    </w:p>
    <w:p w14:paraId="59132521">
      <w:pPr>
        <w:rPr>
          <w:rFonts w:ascii="宋体" w:hAnsi="宋体"/>
          <w:color w:val="000000"/>
        </w:rPr>
      </w:pPr>
    </w:p>
    <w:p w14:paraId="4E844405">
      <w:pPr>
        <w:rPr>
          <w:rFonts w:ascii="宋体" w:hAnsi="宋体"/>
          <w:color w:val="000000"/>
        </w:rPr>
      </w:pPr>
    </w:p>
    <w:p w14:paraId="43325646">
      <w:pPr>
        <w:rPr>
          <w:rFonts w:ascii="宋体" w:hAnsi="宋体"/>
          <w:color w:val="000000"/>
        </w:rPr>
      </w:pPr>
    </w:p>
    <w:p w14:paraId="7D2488D4">
      <w:pPr>
        <w:rPr>
          <w:rFonts w:ascii="宋体" w:hAnsi="宋体"/>
          <w:color w:val="000000"/>
        </w:rPr>
      </w:pPr>
    </w:p>
    <w:p w14:paraId="7DA21F34">
      <w:pPr>
        <w:rPr>
          <w:rFonts w:ascii="宋体" w:hAnsi="宋体"/>
          <w:color w:val="000000"/>
        </w:rPr>
      </w:pPr>
    </w:p>
    <w:p w14:paraId="4F940733">
      <w:pPr>
        <w:rPr>
          <w:rFonts w:ascii="宋体" w:hAnsi="宋体"/>
          <w:color w:val="000000"/>
        </w:rPr>
      </w:pPr>
    </w:p>
    <w:p w14:paraId="7CE50C5C">
      <w:pPr>
        <w:rPr>
          <w:rFonts w:ascii="宋体" w:hAnsi="宋体"/>
          <w:color w:val="000000"/>
        </w:rPr>
      </w:pPr>
    </w:p>
    <w:p w14:paraId="7A1827A5">
      <w:pPr>
        <w:rPr>
          <w:rFonts w:ascii="宋体" w:hAnsi="宋体"/>
          <w:color w:val="000000"/>
        </w:rPr>
      </w:pPr>
    </w:p>
    <w:p w14:paraId="0BB5D975">
      <w:pPr>
        <w:rPr>
          <w:rFonts w:ascii="宋体" w:hAnsi="宋体"/>
          <w:color w:val="000000"/>
        </w:rPr>
      </w:pPr>
    </w:p>
    <w:p w14:paraId="5A64225D">
      <w:pPr>
        <w:rPr>
          <w:rFonts w:ascii="宋体" w:hAnsi="宋体"/>
          <w:color w:val="000000"/>
        </w:rPr>
      </w:pPr>
    </w:p>
    <w:p w14:paraId="4E8720DA">
      <w:pPr>
        <w:rPr>
          <w:rFonts w:ascii="宋体" w:hAnsi="宋体"/>
          <w:color w:val="000000"/>
        </w:rPr>
      </w:pPr>
    </w:p>
    <w:p w14:paraId="31042795">
      <w:pPr>
        <w:rPr>
          <w:rFonts w:ascii="宋体" w:hAnsi="宋体"/>
          <w:color w:val="000000"/>
        </w:rPr>
      </w:pPr>
    </w:p>
    <w:p w14:paraId="076F578C">
      <w:pPr>
        <w:rPr>
          <w:rFonts w:ascii="宋体" w:hAnsi="宋体"/>
          <w:color w:val="000000"/>
        </w:rPr>
      </w:pPr>
    </w:p>
    <w:p w14:paraId="557E5639">
      <w:pPr>
        <w:rPr>
          <w:rFonts w:ascii="宋体" w:hAnsi="宋体"/>
          <w:color w:val="000000"/>
        </w:rPr>
      </w:pPr>
    </w:p>
    <w:p w14:paraId="6ABEA3AB">
      <w:pPr>
        <w:rPr>
          <w:rFonts w:ascii="宋体" w:hAnsi="宋体"/>
          <w:color w:val="000000"/>
        </w:rPr>
      </w:pPr>
    </w:p>
    <w:p w14:paraId="2E99C498">
      <w:pPr>
        <w:rPr>
          <w:rFonts w:ascii="宋体" w:hAnsi="宋体"/>
          <w:color w:val="000000"/>
        </w:rPr>
      </w:pPr>
    </w:p>
    <w:p w14:paraId="5C17BD27">
      <w:pPr>
        <w:rPr>
          <w:rFonts w:ascii="宋体" w:hAnsi="宋体"/>
          <w:color w:val="000000"/>
        </w:rPr>
      </w:pPr>
    </w:p>
    <w:p w14:paraId="15C07B61">
      <w:pPr>
        <w:rPr>
          <w:rFonts w:ascii="宋体" w:hAnsi="宋体"/>
          <w:color w:val="000000"/>
        </w:rPr>
      </w:pPr>
    </w:p>
    <w:p w14:paraId="1449F588">
      <w:pPr>
        <w:rPr>
          <w:rFonts w:ascii="宋体" w:hAnsi="宋体"/>
          <w:color w:val="000000"/>
        </w:rPr>
      </w:pPr>
    </w:p>
    <w:p w14:paraId="745D2C35">
      <w:pPr>
        <w:rPr>
          <w:rFonts w:ascii="宋体" w:hAnsi="宋体"/>
          <w:color w:val="000000"/>
        </w:rPr>
      </w:pPr>
    </w:p>
    <w:p w14:paraId="3575EA3C">
      <w:pPr>
        <w:rPr>
          <w:rFonts w:ascii="宋体" w:hAnsi="宋体"/>
          <w:color w:val="000000"/>
        </w:rPr>
      </w:pPr>
    </w:p>
    <w:p w14:paraId="07A7D8BE">
      <w:pPr>
        <w:rPr>
          <w:rFonts w:ascii="宋体" w:hAnsi="宋体"/>
          <w:color w:val="000000"/>
        </w:rPr>
      </w:pPr>
    </w:p>
    <w:p w14:paraId="4D329570">
      <w:pPr>
        <w:rPr>
          <w:rFonts w:ascii="宋体" w:hAnsi="宋体"/>
          <w:color w:val="000000"/>
        </w:rPr>
      </w:pPr>
    </w:p>
    <w:p w14:paraId="289BCE2B">
      <w:pPr>
        <w:rPr>
          <w:rFonts w:ascii="宋体" w:hAnsi="宋体"/>
          <w:color w:val="000000"/>
        </w:rPr>
      </w:pPr>
    </w:p>
    <w:p w14:paraId="7C411159">
      <w:pPr>
        <w:pStyle w:val="2"/>
        <w:jc w:val="center"/>
        <w:rPr>
          <w:rFonts w:ascii="宋体" w:hAnsi="宋体"/>
          <w:color w:val="000000"/>
          <w:sz w:val="24"/>
          <w:szCs w:val="24"/>
        </w:rPr>
      </w:pPr>
      <w:bookmarkStart w:id="1" w:name="_Toc22599"/>
      <w:r>
        <w:rPr>
          <w:rFonts w:hint="eastAsia" w:ascii="宋体" w:hAnsi="宋体"/>
          <w:color w:val="000000"/>
          <w:sz w:val="24"/>
          <w:szCs w:val="24"/>
        </w:rPr>
        <w:br w:type="page"/>
      </w:r>
      <w:r>
        <w:rPr>
          <w:rFonts w:hint="eastAsia" w:ascii="宋体" w:hAnsi="宋体"/>
          <w:color w:val="000000"/>
          <w:sz w:val="24"/>
          <w:szCs w:val="24"/>
        </w:rPr>
        <w:t>第一章  投 标 邀 请</w:t>
      </w:r>
      <w:bookmarkEnd w:id="0"/>
      <w:bookmarkEnd w:id="1"/>
    </w:p>
    <w:p w14:paraId="67437958">
      <w:pPr>
        <w:spacing w:line="360" w:lineRule="auto"/>
        <w:ind w:firstLine="480" w:firstLineChars="200"/>
        <w:rPr>
          <w:rFonts w:ascii="宋体" w:hAnsi="宋体"/>
          <w:color w:val="000000"/>
          <w:sz w:val="24"/>
        </w:rPr>
      </w:pPr>
      <w:r>
        <w:rPr>
          <w:rFonts w:hint="eastAsia" w:ascii="宋体" w:hAnsi="宋体"/>
          <w:color w:val="000000"/>
          <w:sz w:val="24"/>
        </w:rPr>
        <w:t>北京明德致信咨询有限公司受北京理工物业管理有限公司的委托，对北京理工物业管理有限公司大客车购买项目中所需货物及服务进行国内公开招标。现邀请合格的投标单位参加该项目的投标。</w:t>
      </w:r>
    </w:p>
    <w:p w14:paraId="2293021B">
      <w:pPr>
        <w:spacing w:line="360" w:lineRule="auto"/>
        <w:ind w:left="2168" w:hanging="2168" w:hangingChars="900"/>
        <w:rPr>
          <w:rFonts w:ascii="宋体" w:hAnsi="宋体"/>
          <w:color w:val="000000"/>
          <w:sz w:val="24"/>
        </w:rPr>
      </w:pPr>
      <w:r>
        <w:rPr>
          <w:rFonts w:hint="eastAsia" w:ascii="宋体" w:hAnsi="宋体"/>
          <w:b/>
          <w:color w:val="000000"/>
          <w:sz w:val="24"/>
          <w:szCs w:val="24"/>
        </w:rPr>
        <w:t>1. 招标</w:t>
      </w:r>
      <w:r>
        <w:rPr>
          <w:rFonts w:ascii="宋体" w:hAnsi="宋体"/>
          <w:b/>
          <w:color w:val="000000"/>
          <w:sz w:val="24"/>
          <w:szCs w:val="24"/>
        </w:rPr>
        <w:t>项目名称</w:t>
      </w:r>
      <w:r>
        <w:rPr>
          <w:rFonts w:hint="eastAsia" w:ascii="宋体" w:hAnsi="宋体"/>
          <w:b/>
          <w:color w:val="000000"/>
          <w:sz w:val="24"/>
          <w:szCs w:val="24"/>
        </w:rPr>
        <w:t>：</w:t>
      </w:r>
      <w:r>
        <w:rPr>
          <w:rFonts w:hint="eastAsia" w:ascii="宋体" w:hAnsi="宋体"/>
          <w:color w:val="000000"/>
          <w:sz w:val="24"/>
        </w:rPr>
        <w:t>北京理工物业管理有限公司大客车购买项目</w:t>
      </w:r>
    </w:p>
    <w:p w14:paraId="7CC4972D">
      <w:pPr>
        <w:spacing w:line="360" w:lineRule="auto"/>
        <w:rPr>
          <w:rFonts w:ascii="宋体" w:hAnsi="宋体"/>
          <w:color w:val="000000"/>
          <w:sz w:val="24"/>
          <w:szCs w:val="24"/>
          <w:lang w:val="en-GB"/>
        </w:rPr>
      </w:pPr>
      <w:r>
        <w:rPr>
          <w:rFonts w:ascii="宋体" w:hAnsi="宋体"/>
          <w:b/>
          <w:color w:val="000000"/>
          <w:sz w:val="24"/>
          <w:szCs w:val="24"/>
          <w:lang w:val="en-GB"/>
        </w:rPr>
        <w:t xml:space="preserve">   </w:t>
      </w:r>
      <w:r>
        <w:rPr>
          <w:rFonts w:hint="eastAsia" w:ascii="宋体" w:hAnsi="宋体"/>
          <w:b/>
          <w:color w:val="000000"/>
          <w:sz w:val="24"/>
          <w:szCs w:val="24"/>
        </w:rPr>
        <w:t>招标编号：</w:t>
      </w:r>
      <w:r>
        <w:rPr>
          <w:rFonts w:hint="eastAsia" w:ascii="宋体" w:hAnsi="宋体"/>
          <w:color w:val="000000"/>
          <w:sz w:val="24"/>
        </w:rPr>
        <w:t>BMCC-ZC24-1532</w:t>
      </w:r>
    </w:p>
    <w:p w14:paraId="1CE8A398">
      <w:pPr>
        <w:spacing w:line="360" w:lineRule="auto"/>
        <w:rPr>
          <w:rFonts w:ascii="宋体" w:hAnsi="宋体"/>
          <w:b/>
          <w:color w:val="000000"/>
          <w:sz w:val="24"/>
          <w:szCs w:val="24"/>
        </w:rPr>
      </w:pPr>
      <w:r>
        <w:rPr>
          <w:rFonts w:hint="eastAsia" w:ascii="宋体" w:hAnsi="宋体"/>
          <w:b/>
          <w:color w:val="000000"/>
          <w:sz w:val="24"/>
          <w:szCs w:val="24"/>
        </w:rPr>
        <w:t>2．购买招标文件时间：</w:t>
      </w:r>
    </w:p>
    <w:p w14:paraId="23D8B6A4">
      <w:pPr>
        <w:spacing w:line="360" w:lineRule="auto"/>
        <w:ind w:left="315" w:leftChars="150"/>
        <w:rPr>
          <w:rFonts w:ascii="宋体" w:hAnsi="宋体"/>
          <w:color w:val="000000"/>
          <w:sz w:val="24"/>
        </w:rPr>
      </w:pPr>
      <w:r>
        <w:rPr>
          <w:rFonts w:hint="eastAsia" w:ascii="宋体" w:hAnsi="宋体"/>
          <w:color w:val="000000"/>
          <w:sz w:val="24"/>
          <w:u w:val="single"/>
        </w:rPr>
        <w:t>2025年1</w:t>
      </w:r>
      <w:r>
        <w:rPr>
          <w:rFonts w:ascii="宋体" w:hAnsi="宋体"/>
          <w:color w:val="000000"/>
          <w:sz w:val="24"/>
          <w:u w:val="single"/>
        </w:rPr>
        <w:t>月</w:t>
      </w:r>
      <w:r>
        <w:rPr>
          <w:rFonts w:hint="eastAsia" w:ascii="宋体" w:hAnsi="宋体"/>
          <w:color w:val="000000"/>
          <w:sz w:val="24"/>
          <w:u w:val="single"/>
        </w:rPr>
        <w:t xml:space="preserve">  </w:t>
      </w:r>
      <w:r>
        <w:rPr>
          <w:rFonts w:hint="eastAsia" w:ascii="宋体" w:hAnsi="宋体"/>
          <w:color w:val="000000"/>
          <w:sz w:val="24"/>
          <w:u w:val="single"/>
          <w:lang w:val="en-US" w:eastAsia="zh-CN"/>
        </w:rPr>
        <w:t>6</w:t>
      </w:r>
      <w:r>
        <w:rPr>
          <w:rFonts w:hint="eastAsia" w:ascii="宋体" w:hAnsi="宋体"/>
          <w:color w:val="000000"/>
          <w:sz w:val="24"/>
          <w:u w:val="single"/>
        </w:rPr>
        <w:t xml:space="preserve"> </w:t>
      </w:r>
      <w:r>
        <w:rPr>
          <w:rFonts w:hint="eastAsia" w:ascii="宋体" w:hAnsi="宋体"/>
          <w:color w:val="000000"/>
          <w:sz w:val="24"/>
        </w:rPr>
        <w:t>日至</w:t>
      </w:r>
      <w:r>
        <w:rPr>
          <w:rFonts w:hint="eastAsia" w:ascii="宋体" w:hAnsi="宋体"/>
          <w:color w:val="000000"/>
          <w:sz w:val="24"/>
          <w:u w:val="single"/>
        </w:rPr>
        <w:t>2025年1</w:t>
      </w:r>
      <w:r>
        <w:rPr>
          <w:rFonts w:ascii="宋体" w:hAnsi="宋体"/>
          <w:color w:val="000000"/>
          <w:sz w:val="24"/>
          <w:u w:val="single"/>
        </w:rPr>
        <w:t>月</w:t>
      </w:r>
      <w:r>
        <w:rPr>
          <w:rFonts w:hint="eastAsia" w:ascii="宋体" w:hAnsi="宋体"/>
          <w:color w:val="000000"/>
          <w:sz w:val="24"/>
          <w:u w:val="single"/>
        </w:rPr>
        <w:t xml:space="preserve"> </w:t>
      </w:r>
      <w:r>
        <w:rPr>
          <w:rFonts w:hint="eastAsia" w:ascii="宋体" w:hAnsi="宋体"/>
          <w:color w:val="000000"/>
          <w:sz w:val="24"/>
          <w:u w:val="single"/>
          <w:lang w:val="en-US" w:eastAsia="zh-CN"/>
        </w:rPr>
        <w:t>13</w:t>
      </w:r>
      <w:r>
        <w:rPr>
          <w:rFonts w:hint="eastAsia" w:ascii="宋体" w:hAnsi="宋体"/>
          <w:color w:val="000000"/>
          <w:sz w:val="24"/>
          <w:u w:val="single"/>
        </w:rPr>
        <w:t xml:space="preserve">  </w:t>
      </w:r>
      <w:r>
        <w:rPr>
          <w:rFonts w:hint="eastAsia" w:ascii="宋体" w:hAnsi="宋体"/>
          <w:color w:val="000000"/>
          <w:sz w:val="24"/>
        </w:rPr>
        <w:t>日，上午</w:t>
      </w:r>
      <w:r>
        <w:rPr>
          <w:rFonts w:ascii="宋体" w:hAnsi="宋体"/>
          <w:color w:val="000000"/>
          <w:sz w:val="24"/>
        </w:rPr>
        <w:t>9:00</w:t>
      </w:r>
      <w:r>
        <w:rPr>
          <w:rFonts w:hint="eastAsia" w:ascii="宋体" w:hAnsi="宋体"/>
          <w:color w:val="000000"/>
          <w:sz w:val="24"/>
        </w:rPr>
        <w:t>至</w:t>
      </w:r>
      <w:r>
        <w:rPr>
          <w:rFonts w:ascii="宋体" w:hAnsi="宋体"/>
          <w:color w:val="000000"/>
          <w:sz w:val="24"/>
        </w:rPr>
        <w:t>11:</w:t>
      </w:r>
      <w:r>
        <w:rPr>
          <w:rFonts w:hint="eastAsia" w:ascii="宋体" w:hAnsi="宋体"/>
          <w:color w:val="000000"/>
          <w:sz w:val="24"/>
        </w:rPr>
        <w:t>3</w:t>
      </w:r>
      <w:r>
        <w:rPr>
          <w:rFonts w:ascii="宋体" w:hAnsi="宋体"/>
          <w:color w:val="000000"/>
          <w:sz w:val="24"/>
        </w:rPr>
        <w:t>0</w:t>
      </w:r>
      <w:r>
        <w:rPr>
          <w:rFonts w:hint="eastAsia" w:ascii="宋体" w:hAnsi="宋体"/>
          <w:color w:val="000000"/>
          <w:sz w:val="24"/>
        </w:rPr>
        <w:t>；下午</w:t>
      </w:r>
      <w:r>
        <w:rPr>
          <w:rFonts w:ascii="宋体" w:hAnsi="宋体"/>
          <w:color w:val="000000"/>
          <w:sz w:val="24"/>
        </w:rPr>
        <w:t>1</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0</w:t>
      </w:r>
      <w:r>
        <w:rPr>
          <w:rFonts w:ascii="宋体" w:hAnsi="宋体"/>
          <w:color w:val="000000"/>
          <w:sz w:val="24"/>
        </w:rPr>
        <w:t>0</w:t>
      </w:r>
      <w:r>
        <w:rPr>
          <w:rFonts w:hint="eastAsia" w:ascii="宋体" w:hAnsi="宋体"/>
          <w:color w:val="000000"/>
          <w:sz w:val="24"/>
        </w:rPr>
        <w:t>至17</w:t>
      </w:r>
      <w:r>
        <w:rPr>
          <w:rFonts w:ascii="宋体" w:hAnsi="宋体"/>
          <w:color w:val="000000"/>
          <w:sz w:val="24"/>
        </w:rPr>
        <w:t>:</w:t>
      </w:r>
      <w:r>
        <w:rPr>
          <w:rFonts w:hint="eastAsia" w:ascii="宋体" w:hAnsi="宋体"/>
          <w:color w:val="000000"/>
          <w:sz w:val="24"/>
        </w:rPr>
        <w:t>0</w:t>
      </w:r>
      <w:r>
        <w:rPr>
          <w:rFonts w:ascii="宋体" w:hAnsi="宋体"/>
          <w:color w:val="000000"/>
          <w:sz w:val="24"/>
        </w:rPr>
        <w:t>0</w:t>
      </w:r>
      <w:r>
        <w:rPr>
          <w:rFonts w:hint="eastAsia" w:ascii="宋体" w:hAnsi="宋体"/>
          <w:color w:val="000000"/>
          <w:sz w:val="24"/>
        </w:rPr>
        <w:t>,</w:t>
      </w:r>
      <w:r>
        <w:rPr>
          <w:rFonts w:ascii="宋体" w:hAnsi="宋体"/>
          <w:color w:val="000000"/>
          <w:sz w:val="24"/>
        </w:rPr>
        <w:t>(</w:t>
      </w:r>
      <w:r>
        <w:rPr>
          <w:rFonts w:hint="eastAsia" w:ascii="宋体" w:hAnsi="宋体"/>
          <w:color w:val="000000"/>
          <w:sz w:val="24"/>
        </w:rPr>
        <w:t>北京时间)。</w:t>
      </w:r>
      <w:r>
        <w:rPr>
          <w:rFonts w:hint="eastAsia" w:ascii="宋体"/>
          <w:color w:val="000000"/>
          <w:sz w:val="24"/>
        </w:rPr>
        <w:t>超出</w:t>
      </w:r>
      <w:r>
        <w:rPr>
          <w:rFonts w:hint="eastAsia" w:ascii="宋体" w:hAnsi="宋体"/>
          <w:color w:val="000000"/>
          <w:sz w:val="24"/>
          <w:szCs w:val="24"/>
        </w:rPr>
        <w:t>规定的时间范围外（即北京时间202</w:t>
      </w:r>
      <w:r>
        <w:rPr>
          <w:rFonts w:hint="eastAsia" w:ascii="宋体" w:hAnsi="宋体"/>
          <w:color w:val="000000"/>
          <w:sz w:val="24"/>
          <w:szCs w:val="24"/>
          <w:lang w:val="en-US" w:eastAsia="zh-CN"/>
        </w:rPr>
        <w:t>5</w:t>
      </w:r>
      <w:r>
        <w:rPr>
          <w:rFonts w:hint="eastAsia" w:ascii="宋体" w:hAnsi="宋体"/>
          <w:color w:val="000000"/>
          <w:sz w:val="24"/>
          <w:szCs w:val="24"/>
        </w:rPr>
        <w:t>年</w:t>
      </w:r>
      <w:r>
        <w:rPr>
          <w:rFonts w:hint="eastAsia" w:ascii="宋体" w:hAnsi="宋体"/>
          <w:color w:val="000000"/>
          <w:sz w:val="24"/>
          <w:szCs w:val="24"/>
          <w:lang w:val="en-US" w:eastAsia="zh-CN"/>
        </w:rPr>
        <w:t>1</w:t>
      </w:r>
      <w:r>
        <w:rPr>
          <w:rFonts w:hint="eastAsia" w:ascii="宋体" w:hAnsi="宋体"/>
          <w:color w:val="000000"/>
          <w:sz w:val="24"/>
          <w:szCs w:val="24"/>
        </w:rPr>
        <w:t>月</w:t>
      </w:r>
      <w:r>
        <w:rPr>
          <w:rFonts w:hint="eastAsia" w:ascii="宋体" w:hAnsi="宋体"/>
          <w:color w:val="000000"/>
          <w:sz w:val="24"/>
          <w:szCs w:val="24"/>
          <w:lang w:val="en-US" w:eastAsia="zh-CN"/>
        </w:rPr>
        <w:t>13</w:t>
      </w:r>
      <w:r>
        <w:rPr>
          <w:rFonts w:hint="eastAsia" w:ascii="宋体" w:hAnsi="宋体"/>
          <w:color w:val="000000"/>
          <w:sz w:val="24"/>
          <w:szCs w:val="24"/>
        </w:rPr>
        <w:t>日下午</w:t>
      </w:r>
      <w:r>
        <w:rPr>
          <w:rFonts w:hint="eastAsia" w:ascii="宋体" w:hAnsi="宋体"/>
          <w:color w:val="000000"/>
          <w:sz w:val="24"/>
        </w:rPr>
        <w:t>17</w:t>
      </w:r>
      <w:r>
        <w:rPr>
          <w:rFonts w:ascii="宋体" w:hAnsi="宋体"/>
          <w:color w:val="000000"/>
          <w:sz w:val="24"/>
        </w:rPr>
        <w:t>:</w:t>
      </w:r>
      <w:r>
        <w:rPr>
          <w:rFonts w:hint="eastAsia" w:ascii="宋体" w:hAnsi="宋体"/>
          <w:color w:val="000000"/>
          <w:sz w:val="24"/>
        </w:rPr>
        <w:t>0</w:t>
      </w:r>
      <w:r>
        <w:rPr>
          <w:rFonts w:ascii="宋体" w:hAnsi="宋体"/>
          <w:color w:val="000000"/>
          <w:sz w:val="24"/>
        </w:rPr>
        <w:t>0后</w:t>
      </w:r>
      <w:r>
        <w:rPr>
          <w:rFonts w:hint="eastAsia" w:ascii="宋体" w:hAnsi="宋体"/>
          <w:color w:val="000000"/>
          <w:sz w:val="24"/>
          <w:szCs w:val="24"/>
        </w:rPr>
        <w:t>）收到的</w:t>
      </w:r>
      <w:r>
        <w:rPr>
          <w:rFonts w:hint="eastAsia" w:ascii="宋体" w:hAnsi="宋体"/>
          <w:color w:val="000000"/>
          <w:sz w:val="24"/>
        </w:rPr>
        <w:t>电汇或网银均无效。招标代理机构将尽快对无效的汇款进行退款。</w:t>
      </w:r>
    </w:p>
    <w:p w14:paraId="4BE382CD">
      <w:pPr>
        <w:spacing w:line="360" w:lineRule="auto"/>
        <w:ind w:firstLine="482" w:firstLineChars="200"/>
        <w:rPr>
          <w:rFonts w:ascii="宋体"/>
          <w:color w:val="000000"/>
          <w:sz w:val="24"/>
        </w:rPr>
      </w:pPr>
      <w:r>
        <w:rPr>
          <w:rFonts w:hint="eastAsia" w:ascii="宋体" w:hAnsi="宋体"/>
          <w:b/>
          <w:color w:val="000000"/>
          <w:sz w:val="24"/>
          <w:szCs w:val="24"/>
        </w:rPr>
        <w:t>招标文件售价及其注意事项：</w:t>
      </w:r>
      <w:r>
        <w:rPr>
          <w:rFonts w:hint="eastAsia" w:ascii="宋体"/>
          <w:color w:val="000000"/>
          <w:sz w:val="24"/>
        </w:rPr>
        <w:t>人民币</w:t>
      </w:r>
      <w:r>
        <w:rPr>
          <w:rFonts w:hint="eastAsia" w:ascii="宋体"/>
          <w:color w:val="000000"/>
          <w:sz w:val="24"/>
          <w:u w:val="single"/>
        </w:rPr>
        <w:t>500</w:t>
      </w:r>
      <w:r>
        <w:rPr>
          <w:rFonts w:hint="eastAsia" w:ascii="宋体"/>
          <w:color w:val="000000"/>
          <w:sz w:val="24"/>
        </w:rPr>
        <w:t>元/本。</w:t>
      </w:r>
    </w:p>
    <w:p w14:paraId="721DC86A">
      <w:pPr>
        <w:spacing w:line="360" w:lineRule="auto"/>
        <w:ind w:firstLine="482" w:firstLineChars="200"/>
        <w:rPr>
          <w:rFonts w:ascii="宋体" w:hAnsi="宋体"/>
          <w:color w:val="000000"/>
          <w:sz w:val="24"/>
        </w:rPr>
      </w:pPr>
      <w:r>
        <w:rPr>
          <w:rFonts w:hint="eastAsia" w:ascii="宋体" w:hAnsi="宋体"/>
          <w:b/>
          <w:color w:val="000000"/>
          <w:sz w:val="24"/>
        </w:rPr>
        <w:t>购买</w:t>
      </w:r>
      <w:r>
        <w:rPr>
          <w:rFonts w:hint="eastAsia" w:ascii="宋体" w:hAnsi="宋体" w:cs="仿宋"/>
          <w:b/>
          <w:color w:val="000000"/>
          <w:spacing w:val="8"/>
          <w:kern w:val="0"/>
          <w:sz w:val="24"/>
          <w:shd w:val="clear" w:color="auto" w:fill="FFFFFF"/>
        </w:rPr>
        <w:t>方式：</w:t>
      </w:r>
      <w:r>
        <w:rPr>
          <w:rFonts w:hint="eastAsia" w:ascii="宋体" w:hAnsi="宋体"/>
          <w:b/>
          <w:color w:val="000000"/>
          <w:sz w:val="24"/>
        </w:rPr>
        <w:t>本项目</w:t>
      </w:r>
      <w:r>
        <w:rPr>
          <w:rFonts w:hint="eastAsia" w:ascii="宋体" w:hAnsi="宋体"/>
          <w:b/>
          <w:bCs/>
          <w:color w:val="000000"/>
          <w:sz w:val="24"/>
        </w:rPr>
        <w:t>只接受电汇或网银购买招标文件。</w:t>
      </w:r>
      <w:r>
        <w:rPr>
          <w:rFonts w:hint="eastAsia" w:ascii="宋体" w:hAnsi="宋体" w:cs="仿宋"/>
          <w:color w:val="000000"/>
          <w:spacing w:val="8"/>
          <w:kern w:val="0"/>
          <w:sz w:val="24"/>
          <w:shd w:val="clear" w:color="auto" w:fill="FFFFFF"/>
        </w:rPr>
        <w:t>供应商须登录北京明德致信咨询有限公司官网（http://www.zbbmcc.com），点击右上角“项目报名”，选择本项目编号“BMCC-ZC24-1532”完整填写报名信息并上传报名费转账凭证，提交报名申请（如采购文件要求提供其他报名材料，须一并上传，未明确要求的默认不需要）。报名审核结果会在1个工作日内以短信形式发送至报名联系人邮箱，请留意查收。超过1个工作日未收到审核结果通知，可拨打</w:t>
      </w:r>
      <w:r>
        <w:rPr>
          <w:rFonts w:hint="eastAsia" w:ascii="宋体" w:hAnsi="宋体"/>
          <w:color w:val="000000"/>
          <w:sz w:val="24"/>
        </w:rPr>
        <w:t>010-</w:t>
      </w:r>
      <w:r>
        <w:rPr>
          <w:rFonts w:ascii="宋体" w:hAnsi="宋体"/>
          <w:color w:val="000000"/>
          <w:sz w:val="24"/>
        </w:rPr>
        <w:t>82370045进行咨询</w:t>
      </w:r>
      <w:r>
        <w:rPr>
          <w:rFonts w:hint="eastAsia" w:ascii="宋体" w:hAnsi="宋体"/>
          <w:color w:val="000000"/>
          <w:sz w:val="24"/>
        </w:rPr>
        <w:t>。</w:t>
      </w:r>
      <w:r>
        <w:rPr>
          <w:rFonts w:hint="eastAsia" w:ascii="宋体" w:hAnsi="宋体" w:cs="仿宋"/>
          <w:spacing w:val="8"/>
          <w:kern w:val="0"/>
          <w:sz w:val="24"/>
          <w:shd w:val="clear" w:color="auto" w:fill="FFFFFF"/>
        </w:rPr>
        <w:t>（注：供应商可在报名页面点击“查询按钮”自助查询项目审核状态。）</w:t>
      </w:r>
    </w:p>
    <w:p w14:paraId="7B9E7175">
      <w:pPr>
        <w:spacing w:line="360" w:lineRule="auto"/>
        <w:ind w:firstLine="482" w:firstLineChars="200"/>
        <w:rPr>
          <w:rFonts w:ascii="宋体" w:hAnsi="宋体"/>
          <w:color w:val="000000"/>
          <w:sz w:val="24"/>
          <w:szCs w:val="24"/>
        </w:rPr>
      </w:pPr>
      <w:r>
        <w:rPr>
          <w:rFonts w:hint="eastAsia" w:ascii="宋体"/>
          <w:b/>
          <w:color w:val="000000"/>
          <w:sz w:val="24"/>
        </w:rPr>
        <w:t>招标文件售后不退。</w:t>
      </w:r>
      <w:r>
        <w:rPr>
          <w:rFonts w:hint="eastAsia" w:ascii="宋体" w:hAnsi="宋体"/>
          <w:color w:val="000000"/>
          <w:sz w:val="24"/>
        </w:rPr>
        <w:t>招标代理机构不再提供纸质招标文件。</w:t>
      </w:r>
    </w:p>
    <w:p w14:paraId="08738587">
      <w:pPr>
        <w:spacing w:line="360" w:lineRule="auto"/>
        <w:ind w:left="361" w:hanging="361" w:hangingChars="150"/>
        <w:rPr>
          <w:rFonts w:ascii="宋体" w:hAnsi="宋体"/>
          <w:color w:val="000000"/>
          <w:sz w:val="24"/>
          <w:szCs w:val="24"/>
        </w:rPr>
      </w:pPr>
      <w:r>
        <w:rPr>
          <w:rFonts w:hint="eastAsia" w:ascii="宋体" w:hAnsi="宋体"/>
          <w:b/>
          <w:color w:val="000000"/>
          <w:sz w:val="24"/>
          <w:szCs w:val="24"/>
        </w:rPr>
        <w:t>5．投标截止期和开标时间：</w:t>
      </w:r>
      <w:r>
        <w:rPr>
          <w:rFonts w:hint="eastAsia" w:ascii="宋体" w:hAnsi="宋体"/>
          <w:color w:val="000000"/>
          <w:sz w:val="24"/>
          <w:szCs w:val="24"/>
        </w:rPr>
        <w:t xml:space="preserve">2025年 </w:t>
      </w:r>
      <w:r>
        <w:rPr>
          <w:rFonts w:hint="eastAsia" w:ascii="宋体" w:hAnsi="宋体"/>
          <w:color w:val="000000"/>
          <w:sz w:val="24"/>
          <w:szCs w:val="24"/>
          <w:lang w:val="en-US" w:eastAsia="zh-CN"/>
        </w:rPr>
        <w:t>1</w:t>
      </w:r>
      <w:r>
        <w:rPr>
          <w:rFonts w:hint="eastAsia" w:ascii="宋体" w:hAnsi="宋体"/>
          <w:color w:val="000000"/>
          <w:sz w:val="24"/>
          <w:szCs w:val="24"/>
        </w:rPr>
        <w:t xml:space="preserve"> </w:t>
      </w:r>
      <w:r>
        <w:rPr>
          <w:rFonts w:ascii="宋体" w:hAnsi="宋体"/>
          <w:color w:val="000000"/>
          <w:sz w:val="24"/>
          <w:szCs w:val="24"/>
        </w:rPr>
        <w:t>月</w:t>
      </w:r>
      <w:r>
        <w:rPr>
          <w:rFonts w:hint="eastAsia" w:ascii="宋体" w:hAnsi="宋体"/>
          <w:color w:val="000000"/>
          <w:sz w:val="24"/>
          <w:szCs w:val="24"/>
        </w:rPr>
        <w:t xml:space="preserve"> </w:t>
      </w:r>
      <w:r>
        <w:rPr>
          <w:rFonts w:hint="eastAsia" w:ascii="宋体" w:hAnsi="宋体"/>
          <w:color w:val="000000"/>
          <w:sz w:val="24"/>
          <w:szCs w:val="24"/>
          <w:lang w:val="en-US" w:eastAsia="zh-CN"/>
        </w:rPr>
        <w:t>26</w:t>
      </w:r>
      <w:r>
        <w:rPr>
          <w:rFonts w:hint="eastAsia" w:ascii="宋体" w:hAnsi="宋体"/>
          <w:color w:val="000000"/>
          <w:sz w:val="24"/>
          <w:szCs w:val="24"/>
        </w:rPr>
        <w:t xml:space="preserve"> 日上午</w:t>
      </w:r>
      <w:r>
        <w:rPr>
          <w:rFonts w:ascii="宋体" w:hAnsi="宋体"/>
          <w:color w:val="000000"/>
          <w:sz w:val="24"/>
          <w:szCs w:val="24"/>
        </w:rPr>
        <w:t>9</w:t>
      </w: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0（北京时间），届时请贵方派代表出席开标仪式。根据委托方要求，如有时间变化，另行通知。逾期收到或不符合规定的投标文件恕不接受。</w:t>
      </w:r>
    </w:p>
    <w:p w14:paraId="52D62E6F">
      <w:pPr>
        <w:spacing w:line="360" w:lineRule="auto"/>
        <w:ind w:left="361" w:hanging="361" w:hangingChars="150"/>
        <w:rPr>
          <w:rFonts w:ascii="宋体" w:hAnsi="宋体"/>
          <w:color w:val="000000"/>
          <w:sz w:val="24"/>
          <w:szCs w:val="24"/>
        </w:rPr>
      </w:pPr>
      <w:r>
        <w:rPr>
          <w:rFonts w:hint="eastAsia" w:ascii="宋体" w:hAnsi="宋体"/>
          <w:b/>
          <w:color w:val="000000"/>
          <w:sz w:val="24"/>
          <w:szCs w:val="24"/>
        </w:rPr>
        <w:t>6.开标地点：</w:t>
      </w:r>
      <w:r>
        <w:rPr>
          <w:rFonts w:hint="eastAsia" w:ascii="宋体" w:hAnsi="宋体"/>
          <w:color w:val="000000"/>
          <w:sz w:val="24"/>
          <w:u w:val="single"/>
        </w:rPr>
        <w:t>北京市海淀区学院路</w:t>
      </w:r>
      <w:r>
        <w:rPr>
          <w:rFonts w:ascii="宋体" w:hAnsi="宋体"/>
          <w:color w:val="000000"/>
          <w:sz w:val="24"/>
          <w:u w:val="single"/>
        </w:rPr>
        <w:t>30号科大天工大厦</w:t>
      </w:r>
      <w:r>
        <w:rPr>
          <w:rFonts w:hint="eastAsia" w:ascii="宋体" w:hAnsi="宋体"/>
          <w:color w:val="000000"/>
          <w:sz w:val="24"/>
          <w:u w:val="single"/>
        </w:rPr>
        <w:t>B</w:t>
      </w:r>
      <w:r>
        <w:rPr>
          <w:rFonts w:ascii="宋体" w:hAnsi="宋体"/>
          <w:color w:val="000000"/>
          <w:sz w:val="24"/>
          <w:u w:val="single"/>
        </w:rPr>
        <w:t>座</w:t>
      </w:r>
      <w:r>
        <w:rPr>
          <w:rFonts w:hint="eastAsia" w:ascii="宋体" w:hAnsi="宋体"/>
          <w:color w:val="000000"/>
          <w:sz w:val="24"/>
          <w:u w:val="single"/>
        </w:rPr>
        <w:t xml:space="preserve">1706第 </w:t>
      </w:r>
      <w:r>
        <w:rPr>
          <w:rFonts w:hint="eastAsia" w:ascii="宋体" w:hAnsi="宋体"/>
          <w:color w:val="000000"/>
          <w:sz w:val="24"/>
          <w:u w:val="single"/>
          <w:lang w:val="en-US" w:eastAsia="zh-CN"/>
        </w:rPr>
        <w:t>二</w:t>
      </w:r>
      <w:r>
        <w:rPr>
          <w:rFonts w:hint="eastAsia" w:ascii="宋体" w:hAnsi="宋体"/>
          <w:color w:val="000000"/>
          <w:sz w:val="24"/>
          <w:u w:val="single"/>
        </w:rPr>
        <w:t xml:space="preserve"> 会议室</w:t>
      </w:r>
      <w:r>
        <w:rPr>
          <w:rFonts w:hint="eastAsia" w:ascii="宋体" w:hAnsi="宋体"/>
          <w:color w:val="000000"/>
          <w:sz w:val="24"/>
          <w:szCs w:val="24"/>
        </w:rPr>
        <w:t>。根据委托方要求，如有变化，另行通知。</w:t>
      </w:r>
    </w:p>
    <w:p w14:paraId="7DC04079">
      <w:pPr>
        <w:spacing w:line="360" w:lineRule="atLeast"/>
        <w:rPr>
          <w:rFonts w:ascii="宋体" w:hAnsi="宋体"/>
          <w:b/>
          <w:color w:val="000000"/>
          <w:sz w:val="24"/>
        </w:rPr>
      </w:pPr>
      <w:r>
        <w:rPr>
          <w:rFonts w:hint="eastAsia" w:ascii="宋体" w:hAnsi="宋体"/>
          <w:b/>
          <w:color w:val="000000"/>
          <w:sz w:val="24"/>
        </w:rPr>
        <w:t>7.其他：</w:t>
      </w:r>
    </w:p>
    <w:p w14:paraId="53764E3A">
      <w:pPr>
        <w:spacing w:line="360" w:lineRule="auto"/>
        <w:ind w:left="315" w:leftChars="150" w:firstLine="480" w:firstLineChars="200"/>
        <w:rPr>
          <w:rFonts w:ascii="宋体" w:hAnsi="宋体"/>
          <w:color w:val="000000"/>
          <w:sz w:val="24"/>
        </w:rPr>
      </w:pPr>
      <w:r>
        <w:rPr>
          <w:rFonts w:hint="eastAsia" w:ascii="宋体" w:hAnsi="宋体"/>
          <w:color w:val="000000"/>
          <w:sz w:val="24"/>
        </w:rPr>
        <w:t>投标人应对招标文件中“第五章 货物需求及服务需求”中所有货物进行投标，不得将其中的内容拆开投标，否则其投标将被拒绝。</w:t>
      </w:r>
    </w:p>
    <w:p w14:paraId="7CA3F30A">
      <w:pPr>
        <w:spacing w:line="360" w:lineRule="auto"/>
        <w:rPr>
          <w:rFonts w:ascii="宋体" w:hAnsi="宋体"/>
          <w:b/>
          <w:color w:val="000000"/>
          <w:sz w:val="24"/>
        </w:rPr>
      </w:pPr>
      <w:r>
        <w:rPr>
          <w:rFonts w:hint="eastAsia" w:ascii="宋体" w:hAnsi="宋体"/>
          <w:b/>
          <w:color w:val="000000"/>
          <w:sz w:val="24"/>
        </w:rPr>
        <w:t>8</w:t>
      </w:r>
      <w:r>
        <w:rPr>
          <w:rFonts w:ascii="宋体" w:hAnsi="宋体"/>
          <w:b/>
          <w:color w:val="000000"/>
          <w:sz w:val="24"/>
        </w:rPr>
        <w:t>.招标人</w:t>
      </w:r>
      <w:r>
        <w:rPr>
          <w:rFonts w:hint="eastAsia" w:ascii="宋体" w:hAnsi="宋体"/>
          <w:b/>
          <w:color w:val="000000"/>
          <w:sz w:val="24"/>
        </w:rPr>
        <w:t>：</w:t>
      </w:r>
      <w:r>
        <w:rPr>
          <w:rFonts w:ascii="宋体" w:hAnsi="宋体"/>
          <w:b/>
          <w:color w:val="000000"/>
          <w:sz w:val="24"/>
        </w:rPr>
        <w:t>北京理工物业管理有限公司</w:t>
      </w:r>
    </w:p>
    <w:p w14:paraId="38AFBD05">
      <w:pPr>
        <w:spacing w:line="360" w:lineRule="auto"/>
        <w:rPr>
          <w:rFonts w:ascii="宋体" w:hAnsi="宋体"/>
          <w:color w:val="000000"/>
          <w:sz w:val="24"/>
        </w:rPr>
      </w:pPr>
      <w:r>
        <w:rPr>
          <w:rFonts w:ascii="宋体" w:hAnsi="宋体"/>
          <w:color w:val="000000"/>
          <w:sz w:val="24"/>
        </w:rPr>
        <w:t>地</w:t>
      </w:r>
      <w:r>
        <w:rPr>
          <w:rFonts w:hint="eastAsia" w:ascii="宋体" w:hAnsi="宋体"/>
          <w:color w:val="000000"/>
          <w:sz w:val="24"/>
        </w:rPr>
        <w:t xml:space="preserve">  </w:t>
      </w:r>
      <w:r>
        <w:rPr>
          <w:rFonts w:ascii="宋体" w:hAnsi="宋体"/>
          <w:color w:val="000000"/>
          <w:sz w:val="24"/>
        </w:rPr>
        <w:t>址</w:t>
      </w:r>
      <w:r>
        <w:rPr>
          <w:rFonts w:hint="eastAsia" w:ascii="宋体" w:hAnsi="宋体"/>
          <w:color w:val="000000"/>
          <w:sz w:val="24"/>
        </w:rPr>
        <w:t>：海淀区中关村南大街5号</w:t>
      </w:r>
    </w:p>
    <w:p w14:paraId="48F3425B">
      <w:pPr>
        <w:spacing w:line="360" w:lineRule="auto"/>
        <w:outlineLvl w:val="0"/>
        <w:rPr>
          <w:rFonts w:ascii="宋体" w:hAnsi="宋体"/>
          <w:b/>
          <w:color w:val="000000"/>
          <w:sz w:val="24"/>
          <w:szCs w:val="24"/>
        </w:rPr>
      </w:pPr>
      <w:r>
        <w:rPr>
          <w:rFonts w:hint="eastAsia" w:ascii="宋体" w:hAnsi="宋体"/>
          <w:b/>
          <w:color w:val="000000"/>
          <w:sz w:val="24"/>
          <w:szCs w:val="24"/>
        </w:rPr>
        <w:t>9.招标代理机构：北京明德致信咨询有限公司</w:t>
      </w:r>
    </w:p>
    <w:p w14:paraId="37457939">
      <w:pPr>
        <w:spacing w:line="360" w:lineRule="auto"/>
        <w:outlineLvl w:val="0"/>
        <w:rPr>
          <w:rFonts w:ascii="宋体" w:hAnsi="宋体"/>
          <w:color w:val="000000"/>
          <w:sz w:val="24"/>
          <w:szCs w:val="24"/>
        </w:rPr>
      </w:pPr>
      <w:r>
        <w:rPr>
          <w:rFonts w:hint="eastAsia" w:ascii="宋体" w:hAnsi="宋体"/>
          <w:color w:val="000000"/>
          <w:sz w:val="24"/>
          <w:szCs w:val="24"/>
        </w:rPr>
        <w:t>地  址：</w:t>
      </w:r>
      <w:r>
        <w:rPr>
          <w:rFonts w:hint="eastAsia" w:ascii="宋体" w:hAnsi="宋体" w:cs="Microsoft YaHei UI"/>
          <w:color w:val="000000"/>
          <w:spacing w:val="8"/>
          <w:kern w:val="0"/>
          <w:sz w:val="24"/>
          <w:shd w:val="clear" w:color="auto" w:fill="FFFFFF"/>
        </w:rPr>
        <w:t>北京市海淀区学院路30号科大天工大厦B座17层1709室</w:t>
      </w:r>
    </w:p>
    <w:p w14:paraId="7F484337">
      <w:pPr>
        <w:spacing w:line="360" w:lineRule="auto"/>
        <w:rPr>
          <w:rFonts w:ascii="宋体" w:hAnsi="宋体"/>
          <w:color w:val="000000"/>
          <w:sz w:val="24"/>
          <w:szCs w:val="24"/>
        </w:rPr>
      </w:pPr>
      <w:r>
        <w:rPr>
          <w:rFonts w:hint="eastAsia" w:ascii="宋体" w:hAnsi="宋体"/>
          <w:color w:val="000000"/>
          <w:sz w:val="24"/>
          <w:szCs w:val="24"/>
        </w:rPr>
        <w:t>开户行：</w:t>
      </w:r>
      <w:r>
        <w:rPr>
          <w:rFonts w:hint="eastAsia" w:ascii="宋体" w:hAnsi="宋体" w:cs="Microsoft YaHei UI"/>
          <w:color w:val="000000"/>
          <w:spacing w:val="8"/>
          <w:kern w:val="0"/>
          <w:sz w:val="24"/>
          <w:shd w:val="clear" w:color="auto" w:fill="FFFFFF"/>
        </w:rPr>
        <w:t>工行北京东升路支行</w:t>
      </w:r>
    </w:p>
    <w:p w14:paraId="12478813">
      <w:pPr>
        <w:spacing w:line="360" w:lineRule="auto"/>
        <w:rPr>
          <w:rFonts w:ascii="宋体" w:hAnsi="宋体"/>
          <w:color w:val="000000"/>
          <w:sz w:val="24"/>
          <w:szCs w:val="24"/>
        </w:rPr>
      </w:pPr>
      <w:r>
        <w:rPr>
          <w:rFonts w:hint="eastAsia" w:ascii="宋体" w:hAnsi="宋体"/>
          <w:color w:val="000000"/>
          <w:sz w:val="24"/>
          <w:szCs w:val="24"/>
        </w:rPr>
        <w:t>帐  号：</w:t>
      </w:r>
      <w:bookmarkStart w:id="2" w:name="_Hlk69315239"/>
      <w:r>
        <w:rPr>
          <w:rFonts w:ascii="宋体" w:hAnsi="宋体" w:cs="Microsoft YaHei UI"/>
          <w:color w:val="000000"/>
          <w:spacing w:val="8"/>
          <w:kern w:val="0"/>
          <w:sz w:val="24"/>
          <w:shd w:val="clear" w:color="auto" w:fill="FFFFFF"/>
        </w:rPr>
        <w:t>0200 0062 1920 0492 968</w:t>
      </w:r>
      <w:bookmarkEnd w:id="2"/>
      <w:r>
        <w:rPr>
          <w:rFonts w:hint="eastAsia" w:ascii="宋体" w:hAnsi="宋体"/>
          <w:color w:val="000000"/>
          <w:sz w:val="24"/>
          <w:szCs w:val="24"/>
        </w:rPr>
        <w:t xml:space="preserve">          </w:t>
      </w:r>
    </w:p>
    <w:p w14:paraId="5D3BF460">
      <w:pPr>
        <w:spacing w:line="360" w:lineRule="auto"/>
        <w:rPr>
          <w:rFonts w:ascii="宋体" w:hAnsi="宋体"/>
          <w:color w:val="000000"/>
          <w:sz w:val="24"/>
          <w:szCs w:val="24"/>
        </w:rPr>
      </w:pPr>
      <w:r>
        <w:rPr>
          <w:rFonts w:hint="eastAsia" w:ascii="宋体" w:hAnsi="宋体"/>
          <w:color w:val="000000"/>
          <w:sz w:val="24"/>
          <w:szCs w:val="24"/>
        </w:rPr>
        <w:t>联系人：周经理  王经理</w:t>
      </w:r>
    </w:p>
    <w:p w14:paraId="601AFEE9">
      <w:pPr>
        <w:spacing w:line="360" w:lineRule="auto"/>
        <w:ind w:left="1200" w:hanging="1200" w:hangingChars="500"/>
        <w:rPr>
          <w:rFonts w:ascii="宋体" w:hAnsi="宋体"/>
          <w:color w:val="000000"/>
          <w:sz w:val="24"/>
          <w:szCs w:val="24"/>
        </w:rPr>
      </w:pPr>
      <w:r>
        <w:rPr>
          <w:rFonts w:hint="eastAsia" w:ascii="宋体" w:hAnsi="宋体"/>
          <w:color w:val="000000"/>
          <w:sz w:val="24"/>
          <w:szCs w:val="24"/>
        </w:rPr>
        <w:t>电  话：010-</w:t>
      </w:r>
      <w:r>
        <w:rPr>
          <w:rFonts w:hint="eastAsia" w:ascii="宋体" w:hAnsi="宋体" w:cs="Microsoft YaHei UI"/>
          <w:color w:val="000000"/>
          <w:spacing w:val="8"/>
          <w:kern w:val="0"/>
          <w:sz w:val="24"/>
          <w:shd w:val="clear" w:color="auto" w:fill="FFFFFF"/>
        </w:rPr>
        <w:t>8237</w:t>
      </w:r>
      <w:r>
        <w:rPr>
          <w:rFonts w:ascii="宋体" w:hAnsi="宋体" w:cs="Microsoft YaHei UI"/>
          <w:color w:val="000000"/>
          <w:spacing w:val="8"/>
          <w:kern w:val="0"/>
          <w:sz w:val="24"/>
          <w:shd w:val="clear" w:color="auto" w:fill="FFFFFF"/>
        </w:rPr>
        <w:t>0045</w:t>
      </w:r>
      <w:r>
        <w:rPr>
          <w:rFonts w:ascii="宋体" w:hAnsi="宋体"/>
          <w:color w:val="000000"/>
          <w:sz w:val="24"/>
          <w:szCs w:val="24"/>
        </w:rPr>
        <w:t xml:space="preserve">  </w:t>
      </w:r>
      <w:r>
        <w:rPr>
          <w:rFonts w:hint="eastAsia" w:ascii="宋体" w:hAnsi="宋体"/>
          <w:color w:val="000000"/>
          <w:sz w:val="24"/>
          <w:szCs w:val="24"/>
        </w:rPr>
        <w:t>010-61196135</w:t>
      </w:r>
    </w:p>
    <w:p w14:paraId="06B20A0A">
      <w:pPr>
        <w:spacing w:line="360" w:lineRule="auto"/>
        <w:rPr>
          <w:color w:val="000000"/>
        </w:rPr>
      </w:pPr>
      <w:r>
        <w:rPr>
          <w:rFonts w:hint="eastAsia" w:ascii="宋体" w:hAnsi="宋体"/>
          <w:color w:val="000000"/>
          <w:sz w:val="24"/>
          <w:szCs w:val="24"/>
        </w:rPr>
        <w:t>电子邮箱：</w:t>
      </w:r>
      <w:r>
        <w:rPr>
          <w:rFonts w:ascii="宋体" w:hAnsi="宋体" w:cs="Microsoft YaHei UI"/>
          <w:color w:val="000000"/>
          <w:spacing w:val="8"/>
          <w:kern w:val="0"/>
          <w:sz w:val="24"/>
          <w:shd w:val="clear" w:color="auto" w:fill="FFFFFF"/>
        </w:rPr>
        <w:t>bjmdzx@vip.163.com</w:t>
      </w:r>
      <w:r>
        <w:rPr>
          <w:color w:val="000000"/>
        </w:rPr>
        <w:t xml:space="preserve"> </w:t>
      </w:r>
    </w:p>
    <w:p w14:paraId="7737C97E">
      <w:pPr>
        <w:spacing w:line="360" w:lineRule="auto"/>
        <w:rPr>
          <w:color w:val="000000"/>
        </w:rPr>
      </w:pPr>
    </w:p>
    <w:p w14:paraId="3239D8E4">
      <w:pPr>
        <w:rPr>
          <w:color w:val="000000"/>
        </w:rPr>
      </w:pPr>
    </w:p>
    <w:p w14:paraId="70426EE1">
      <w:pPr>
        <w:rPr>
          <w:color w:val="000000"/>
        </w:rPr>
      </w:pPr>
    </w:p>
    <w:p w14:paraId="3FA49597">
      <w:pPr>
        <w:rPr>
          <w:color w:val="000000"/>
        </w:rPr>
      </w:pPr>
    </w:p>
    <w:p w14:paraId="280B9268">
      <w:pPr>
        <w:rPr>
          <w:color w:val="000000"/>
        </w:rPr>
      </w:pPr>
    </w:p>
    <w:p w14:paraId="5EFC5D5F">
      <w:pPr>
        <w:rPr>
          <w:color w:val="000000"/>
        </w:rPr>
      </w:pPr>
    </w:p>
    <w:p w14:paraId="1296EB31">
      <w:pPr>
        <w:rPr>
          <w:color w:val="000000"/>
        </w:rPr>
      </w:pPr>
    </w:p>
    <w:p w14:paraId="42C97CEF">
      <w:pPr>
        <w:rPr>
          <w:color w:val="000000"/>
        </w:rPr>
      </w:pPr>
    </w:p>
    <w:p w14:paraId="46CAB743">
      <w:pPr>
        <w:rPr>
          <w:color w:val="000000"/>
        </w:rPr>
      </w:pPr>
    </w:p>
    <w:p w14:paraId="69E56865">
      <w:pPr>
        <w:rPr>
          <w:color w:val="000000"/>
        </w:rPr>
      </w:pPr>
    </w:p>
    <w:p w14:paraId="20E2C97A">
      <w:pPr>
        <w:rPr>
          <w:color w:val="000000"/>
        </w:rPr>
      </w:pPr>
    </w:p>
    <w:p w14:paraId="37581E8B">
      <w:pPr>
        <w:rPr>
          <w:color w:val="000000"/>
        </w:rPr>
      </w:pPr>
    </w:p>
    <w:p w14:paraId="4A989070">
      <w:pPr>
        <w:rPr>
          <w:color w:val="000000"/>
        </w:rPr>
      </w:pPr>
    </w:p>
    <w:p w14:paraId="59E9FFA3">
      <w:pPr>
        <w:rPr>
          <w:color w:val="000000"/>
        </w:rPr>
      </w:pPr>
    </w:p>
    <w:p w14:paraId="01010016">
      <w:pPr>
        <w:pStyle w:val="2"/>
        <w:spacing w:after="0"/>
        <w:jc w:val="center"/>
        <w:rPr>
          <w:rFonts w:ascii="宋体" w:hAnsi="宋体"/>
          <w:color w:val="000000"/>
          <w:sz w:val="24"/>
          <w:szCs w:val="24"/>
        </w:rPr>
      </w:pPr>
      <w:bookmarkStart w:id="3" w:name="_Toc73427776"/>
      <w:r>
        <w:rPr>
          <w:rFonts w:hint="eastAsia" w:ascii="宋体" w:hAnsi="宋体"/>
          <w:color w:val="000000"/>
          <w:sz w:val="24"/>
          <w:szCs w:val="24"/>
        </w:rPr>
        <w:br w:type="page"/>
      </w:r>
      <w:bookmarkStart w:id="4" w:name="_Toc2382"/>
      <w:r>
        <w:rPr>
          <w:rFonts w:hint="eastAsia" w:ascii="宋体" w:hAnsi="宋体"/>
          <w:color w:val="000000"/>
          <w:sz w:val="24"/>
          <w:szCs w:val="24"/>
        </w:rPr>
        <w:t>第二章  投标资料表</w:t>
      </w:r>
      <w:bookmarkEnd w:id="3"/>
      <w:bookmarkEnd w:id="4"/>
    </w:p>
    <w:p w14:paraId="1E6D06BD">
      <w:pPr>
        <w:spacing w:line="360" w:lineRule="auto"/>
        <w:rPr>
          <w:rFonts w:ascii="宋体" w:hAnsi="宋体"/>
          <w:color w:val="000000"/>
          <w:sz w:val="24"/>
          <w:szCs w:val="24"/>
        </w:rPr>
      </w:pPr>
      <w:r>
        <w:rPr>
          <w:rFonts w:hint="eastAsia" w:ascii="宋体" w:hAnsi="宋体"/>
          <w:color w:val="000000"/>
          <w:sz w:val="24"/>
          <w:szCs w:val="24"/>
        </w:rPr>
        <w:t xml:space="preserve">    本表关于要采购的货物的具体资料是对投标人须知的具体补充和修改，如有矛盾，应以本资料表为准。</w:t>
      </w:r>
    </w:p>
    <w:tbl>
      <w:tblPr>
        <w:tblStyle w:val="42"/>
        <w:tblW w:w="853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21"/>
        <w:gridCol w:w="7512"/>
      </w:tblGrid>
      <w:tr w14:paraId="076F98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1" w:hRule="atLeast"/>
        </w:trPr>
        <w:tc>
          <w:tcPr>
            <w:tcW w:w="1021" w:type="dxa"/>
            <w:vAlign w:val="center"/>
          </w:tcPr>
          <w:p w14:paraId="57A843B9">
            <w:pPr>
              <w:jc w:val="center"/>
              <w:rPr>
                <w:rFonts w:ascii="宋体" w:hAnsi="宋体"/>
                <w:color w:val="000000"/>
                <w:sz w:val="24"/>
                <w:szCs w:val="24"/>
              </w:rPr>
            </w:pPr>
            <w:r>
              <w:rPr>
                <w:rFonts w:ascii="宋体" w:hAnsi="宋体"/>
                <w:color w:val="000000"/>
                <w:sz w:val="24"/>
                <w:szCs w:val="24"/>
              </w:rPr>
              <w:t>条款号</w:t>
            </w:r>
          </w:p>
        </w:tc>
        <w:tc>
          <w:tcPr>
            <w:tcW w:w="7512" w:type="dxa"/>
            <w:vAlign w:val="center"/>
          </w:tcPr>
          <w:p w14:paraId="6D3AE4FC">
            <w:pPr>
              <w:ind w:firstLine="2409" w:firstLineChars="1000"/>
              <w:rPr>
                <w:rFonts w:ascii="宋体" w:hAnsi="宋体"/>
                <w:b/>
                <w:color w:val="000000"/>
                <w:sz w:val="24"/>
                <w:szCs w:val="24"/>
              </w:rPr>
            </w:pPr>
            <w:r>
              <w:rPr>
                <w:rFonts w:ascii="宋体" w:hAnsi="宋体"/>
                <w:b/>
                <w:color w:val="000000"/>
                <w:sz w:val="24"/>
                <w:szCs w:val="24"/>
              </w:rPr>
              <w:t>内      容</w:t>
            </w:r>
          </w:p>
        </w:tc>
      </w:tr>
      <w:tr w14:paraId="214ED3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46" w:hRule="atLeast"/>
        </w:trPr>
        <w:tc>
          <w:tcPr>
            <w:tcW w:w="8533" w:type="dxa"/>
            <w:gridSpan w:val="2"/>
            <w:vAlign w:val="center"/>
          </w:tcPr>
          <w:p w14:paraId="5F42D0BD">
            <w:pPr>
              <w:jc w:val="center"/>
              <w:rPr>
                <w:rFonts w:ascii="宋体" w:hAnsi="宋体"/>
                <w:b/>
                <w:color w:val="000000"/>
                <w:sz w:val="24"/>
                <w:szCs w:val="24"/>
              </w:rPr>
            </w:pPr>
            <w:r>
              <w:rPr>
                <w:rFonts w:ascii="宋体" w:hAnsi="宋体"/>
                <w:b/>
                <w:color w:val="000000"/>
                <w:sz w:val="24"/>
                <w:szCs w:val="24"/>
              </w:rPr>
              <w:t>说          明</w:t>
            </w:r>
          </w:p>
        </w:tc>
      </w:tr>
      <w:tr w14:paraId="44CDD7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2" w:hRule="atLeast"/>
        </w:trPr>
        <w:tc>
          <w:tcPr>
            <w:tcW w:w="1021" w:type="dxa"/>
            <w:vAlign w:val="center"/>
          </w:tcPr>
          <w:p w14:paraId="680944FC">
            <w:pPr>
              <w:jc w:val="center"/>
              <w:rPr>
                <w:rFonts w:ascii="宋体" w:hAnsi="宋体"/>
                <w:color w:val="000000"/>
                <w:sz w:val="24"/>
                <w:szCs w:val="24"/>
              </w:rPr>
            </w:pPr>
            <w:r>
              <w:rPr>
                <w:rFonts w:ascii="宋体" w:hAnsi="宋体"/>
                <w:color w:val="000000"/>
                <w:sz w:val="24"/>
                <w:szCs w:val="24"/>
              </w:rPr>
              <w:t>1.1</w:t>
            </w:r>
          </w:p>
        </w:tc>
        <w:tc>
          <w:tcPr>
            <w:tcW w:w="7512" w:type="dxa"/>
            <w:vAlign w:val="center"/>
          </w:tcPr>
          <w:p w14:paraId="46A8623F">
            <w:pPr>
              <w:jc w:val="left"/>
              <w:rPr>
                <w:rFonts w:ascii="宋体" w:hAnsi="宋体"/>
                <w:color w:val="000000"/>
                <w:sz w:val="24"/>
                <w:szCs w:val="24"/>
                <w:u w:val="single"/>
              </w:rPr>
            </w:pPr>
            <w:r>
              <w:rPr>
                <w:rFonts w:ascii="宋体" w:hAnsi="宋体"/>
                <w:color w:val="000000"/>
                <w:sz w:val="24"/>
                <w:szCs w:val="24"/>
              </w:rPr>
              <w:t>招标人：</w:t>
            </w:r>
            <w:r>
              <w:rPr>
                <w:rFonts w:ascii="宋体" w:hAnsi="宋体"/>
                <w:color w:val="000000"/>
                <w:sz w:val="24"/>
                <w:szCs w:val="24"/>
                <w:u w:val="single"/>
              </w:rPr>
              <w:t>北京理工物业管理有限公司</w:t>
            </w:r>
          </w:p>
        </w:tc>
      </w:tr>
      <w:tr w14:paraId="01BADF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8" w:hRule="atLeast"/>
        </w:trPr>
        <w:tc>
          <w:tcPr>
            <w:tcW w:w="1021" w:type="dxa"/>
            <w:vAlign w:val="center"/>
          </w:tcPr>
          <w:p w14:paraId="27D29C01">
            <w:pPr>
              <w:jc w:val="center"/>
              <w:rPr>
                <w:rFonts w:ascii="宋体" w:hAnsi="宋体"/>
                <w:color w:val="000000"/>
                <w:sz w:val="24"/>
                <w:szCs w:val="24"/>
              </w:rPr>
            </w:pPr>
            <w:r>
              <w:rPr>
                <w:rFonts w:ascii="宋体" w:hAnsi="宋体"/>
                <w:color w:val="000000"/>
                <w:sz w:val="24"/>
                <w:szCs w:val="24"/>
              </w:rPr>
              <w:t>7.1</w:t>
            </w:r>
          </w:p>
        </w:tc>
        <w:tc>
          <w:tcPr>
            <w:tcW w:w="7512" w:type="dxa"/>
            <w:vAlign w:val="center"/>
          </w:tcPr>
          <w:p w14:paraId="55B7A828">
            <w:pPr>
              <w:jc w:val="left"/>
              <w:rPr>
                <w:rFonts w:ascii="宋体" w:hAnsi="宋体"/>
                <w:color w:val="000000"/>
                <w:sz w:val="24"/>
                <w:szCs w:val="24"/>
              </w:rPr>
            </w:pPr>
            <w:r>
              <w:rPr>
                <w:rFonts w:ascii="宋体" w:hAnsi="宋体"/>
                <w:color w:val="000000"/>
                <w:sz w:val="24"/>
                <w:szCs w:val="24"/>
              </w:rPr>
              <w:t>投标语言：</w:t>
            </w:r>
            <w:r>
              <w:rPr>
                <w:rFonts w:ascii="宋体" w:hAnsi="宋体"/>
                <w:color w:val="000000"/>
                <w:sz w:val="24"/>
                <w:szCs w:val="24"/>
                <w:u w:val="single"/>
              </w:rPr>
              <w:t xml:space="preserve"> 中文 </w:t>
            </w:r>
          </w:p>
        </w:tc>
      </w:tr>
      <w:tr w14:paraId="2E0F4D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0" w:hRule="atLeast"/>
        </w:trPr>
        <w:tc>
          <w:tcPr>
            <w:tcW w:w="8533" w:type="dxa"/>
            <w:gridSpan w:val="2"/>
            <w:vAlign w:val="center"/>
          </w:tcPr>
          <w:p w14:paraId="791ECF9A">
            <w:pPr>
              <w:jc w:val="center"/>
              <w:rPr>
                <w:rFonts w:ascii="宋体" w:hAnsi="宋体"/>
                <w:b/>
                <w:color w:val="000000"/>
                <w:sz w:val="24"/>
                <w:szCs w:val="24"/>
              </w:rPr>
            </w:pPr>
            <w:r>
              <w:rPr>
                <w:rFonts w:ascii="宋体" w:hAnsi="宋体"/>
                <w:b/>
                <w:color w:val="000000"/>
                <w:sz w:val="24"/>
                <w:szCs w:val="24"/>
              </w:rPr>
              <w:t>投  标  报  价  和  货  币</w:t>
            </w:r>
          </w:p>
        </w:tc>
      </w:tr>
      <w:tr w14:paraId="5BA434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38" w:hRule="atLeast"/>
        </w:trPr>
        <w:tc>
          <w:tcPr>
            <w:tcW w:w="1021" w:type="dxa"/>
            <w:tcBorders>
              <w:right w:val="single" w:color="auto" w:sz="4" w:space="0"/>
            </w:tcBorders>
            <w:vAlign w:val="center"/>
          </w:tcPr>
          <w:p w14:paraId="1C237A4E">
            <w:pPr>
              <w:jc w:val="center"/>
              <w:rPr>
                <w:rFonts w:ascii="宋体" w:hAnsi="宋体"/>
                <w:b/>
                <w:color w:val="000000"/>
                <w:sz w:val="24"/>
                <w:szCs w:val="24"/>
              </w:rPr>
            </w:pPr>
          </w:p>
        </w:tc>
        <w:tc>
          <w:tcPr>
            <w:tcW w:w="7512" w:type="dxa"/>
            <w:tcBorders>
              <w:left w:val="single" w:color="auto" w:sz="4" w:space="0"/>
            </w:tcBorders>
          </w:tcPr>
          <w:p w14:paraId="1817CC5E">
            <w:pPr>
              <w:jc w:val="left"/>
              <w:rPr>
                <w:rFonts w:ascii="宋体" w:hAnsi="宋体"/>
                <w:color w:val="000000"/>
                <w:sz w:val="24"/>
                <w:szCs w:val="24"/>
              </w:rPr>
            </w:pPr>
            <w:r>
              <w:rPr>
                <w:rFonts w:ascii="宋体" w:hAnsi="宋体"/>
                <w:color w:val="000000"/>
                <w:sz w:val="24"/>
                <w:szCs w:val="24"/>
              </w:rPr>
              <w:t>代理费：</w:t>
            </w:r>
          </w:p>
          <w:p w14:paraId="6407F74E">
            <w:pPr>
              <w:jc w:val="left"/>
              <w:rPr>
                <w:rFonts w:ascii="宋体" w:hAnsi="宋体"/>
                <w:color w:val="000000"/>
                <w:sz w:val="24"/>
                <w:szCs w:val="24"/>
              </w:rPr>
            </w:pPr>
            <w:r>
              <w:rPr>
                <w:rFonts w:ascii="宋体" w:hAnsi="宋体"/>
                <w:color w:val="000000"/>
                <w:sz w:val="24"/>
                <w:szCs w:val="24"/>
              </w:rPr>
              <w:t>代理服务费由中标人支付。</w:t>
            </w:r>
          </w:p>
          <w:p w14:paraId="20A75E47">
            <w:pPr>
              <w:jc w:val="left"/>
              <w:rPr>
                <w:rFonts w:ascii="宋体" w:hAnsi="宋体"/>
                <w:color w:val="000000"/>
                <w:sz w:val="24"/>
                <w:szCs w:val="24"/>
              </w:rPr>
            </w:pPr>
            <w:r>
              <w:rPr>
                <w:rFonts w:ascii="宋体" w:hAnsi="宋体"/>
                <w:color w:val="000000"/>
                <w:sz w:val="24"/>
                <w:szCs w:val="24"/>
              </w:rPr>
              <w:t>收费标准：参考原《招标代理服务收费管理暂行办法》（计价格[2002]1980号）执行，详见附表费率。按中标金额差额定率累进法计算，计算基数为分包合同总价，由中标人在领取中标通知书的同时支付。</w:t>
            </w:r>
          </w:p>
          <w:tbl>
            <w:tblPr>
              <w:tblStyle w:val="42"/>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992"/>
              <w:gridCol w:w="1713"/>
            </w:tblGrid>
            <w:tr w14:paraId="3652B8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3" w:hRule="atLeast"/>
                <w:tblCellSpacing w:w="0" w:type="dxa"/>
                <w:jc w:val="center"/>
              </w:trPr>
              <w:tc>
                <w:tcPr>
                  <w:tcW w:w="2992" w:type="dxa"/>
                  <w:tcBorders>
                    <w:top w:val="outset" w:color="auto" w:sz="6" w:space="0"/>
                    <w:left w:val="outset" w:color="auto" w:sz="6" w:space="0"/>
                    <w:bottom w:val="outset" w:color="auto" w:sz="6" w:space="0"/>
                    <w:right w:val="outset" w:color="auto" w:sz="6" w:space="0"/>
                  </w:tcBorders>
                  <w:vAlign w:val="center"/>
                </w:tcPr>
                <w:p w14:paraId="4FD895B2">
                  <w:pPr>
                    <w:adjustRightInd w:val="0"/>
                    <w:snapToGrid w:val="0"/>
                    <w:spacing w:line="288" w:lineRule="auto"/>
                    <w:jc w:val="center"/>
                    <w:rPr>
                      <w:b/>
                      <w:bCs/>
                      <w:szCs w:val="18"/>
                    </w:rPr>
                  </w:pPr>
                  <w:r>
                    <w:rPr>
                      <w:b/>
                      <w:bCs/>
                      <w:szCs w:val="18"/>
                    </w:rPr>
                    <w:t>      项目类型   </w:t>
                  </w:r>
                </w:p>
                <w:p w14:paraId="42F3A794">
                  <w:pPr>
                    <w:adjustRightInd w:val="0"/>
                    <w:snapToGrid w:val="0"/>
                    <w:spacing w:line="288" w:lineRule="auto"/>
                    <w:rPr>
                      <w:b/>
                      <w:bCs/>
                      <w:szCs w:val="18"/>
                    </w:rPr>
                  </w:pPr>
                  <w:r>
                    <w:rPr>
                      <w:b/>
                      <w:bCs/>
                      <w:szCs w:val="18"/>
                    </w:rPr>
                    <w:t>中标金额（万元）</w:t>
                  </w:r>
                </w:p>
              </w:tc>
              <w:tc>
                <w:tcPr>
                  <w:tcW w:w="1713" w:type="dxa"/>
                  <w:tcBorders>
                    <w:top w:val="outset" w:color="auto" w:sz="6" w:space="0"/>
                    <w:left w:val="outset" w:color="auto" w:sz="6" w:space="0"/>
                    <w:bottom w:val="outset" w:color="auto" w:sz="6" w:space="0"/>
                    <w:right w:val="outset" w:color="auto" w:sz="6" w:space="0"/>
                  </w:tcBorders>
                  <w:vAlign w:val="center"/>
                </w:tcPr>
                <w:p w14:paraId="1870B169">
                  <w:pPr>
                    <w:pStyle w:val="38"/>
                    <w:adjustRightInd w:val="0"/>
                    <w:snapToGrid w:val="0"/>
                    <w:spacing w:before="0" w:beforeAutospacing="0" w:after="0" w:afterAutospacing="0" w:line="288" w:lineRule="auto"/>
                    <w:jc w:val="center"/>
                    <w:rPr>
                      <w:b/>
                      <w:bCs/>
                      <w:sz w:val="21"/>
                    </w:rPr>
                  </w:pPr>
                  <w:r>
                    <w:rPr>
                      <w:b/>
                      <w:bCs/>
                      <w:sz w:val="21"/>
                    </w:rPr>
                    <w:t>货物招标</w:t>
                  </w:r>
                </w:p>
              </w:tc>
            </w:tr>
            <w:tr w14:paraId="2B0506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2992" w:type="dxa"/>
                  <w:tcBorders>
                    <w:top w:val="outset" w:color="auto" w:sz="6" w:space="0"/>
                    <w:left w:val="outset" w:color="auto" w:sz="6" w:space="0"/>
                    <w:bottom w:val="outset" w:color="auto" w:sz="6" w:space="0"/>
                    <w:right w:val="outset" w:color="auto" w:sz="6" w:space="0"/>
                  </w:tcBorders>
                  <w:vAlign w:val="center"/>
                </w:tcPr>
                <w:p w14:paraId="1E6B9953">
                  <w:pPr>
                    <w:adjustRightInd w:val="0"/>
                    <w:snapToGrid w:val="0"/>
                    <w:spacing w:line="288" w:lineRule="auto"/>
                    <w:rPr>
                      <w:b/>
                      <w:bCs/>
                      <w:szCs w:val="18"/>
                    </w:rPr>
                  </w:pPr>
                  <w:r>
                    <w:rPr>
                      <w:b/>
                      <w:bCs/>
                      <w:szCs w:val="18"/>
                    </w:rPr>
                    <w:t>100以下</w:t>
                  </w:r>
                </w:p>
              </w:tc>
              <w:tc>
                <w:tcPr>
                  <w:tcW w:w="1713" w:type="dxa"/>
                  <w:tcBorders>
                    <w:top w:val="outset" w:color="auto" w:sz="6" w:space="0"/>
                    <w:left w:val="outset" w:color="auto" w:sz="6" w:space="0"/>
                    <w:bottom w:val="outset" w:color="auto" w:sz="6" w:space="0"/>
                    <w:right w:val="outset" w:color="auto" w:sz="6" w:space="0"/>
                  </w:tcBorders>
                  <w:vAlign w:val="center"/>
                </w:tcPr>
                <w:p w14:paraId="20E5CD63">
                  <w:pPr>
                    <w:adjustRightInd w:val="0"/>
                    <w:snapToGrid w:val="0"/>
                    <w:spacing w:line="288" w:lineRule="auto"/>
                    <w:jc w:val="center"/>
                    <w:rPr>
                      <w:b/>
                      <w:bCs/>
                      <w:szCs w:val="18"/>
                    </w:rPr>
                  </w:pPr>
                  <w:r>
                    <w:rPr>
                      <w:b/>
                      <w:bCs/>
                      <w:szCs w:val="18"/>
                    </w:rPr>
                    <w:t>1.5％</w:t>
                  </w:r>
                </w:p>
              </w:tc>
            </w:tr>
            <w:tr w14:paraId="11D1DA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2992" w:type="dxa"/>
                  <w:tcBorders>
                    <w:top w:val="outset" w:color="auto" w:sz="6" w:space="0"/>
                    <w:left w:val="outset" w:color="auto" w:sz="6" w:space="0"/>
                    <w:bottom w:val="outset" w:color="auto" w:sz="6" w:space="0"/>
                    <w:right w:val="outset" w:color="auto" w:sz="6" w:space="0"/>
                  </w:tcBorders>
                  <w:vAlign w:val="center"/>
                </w:tcPr>
                <w:p w14:paraId="7AD0F3FF">
                  <w:pPr>
                    <w:adjustRightInd w:val="0"/>
                    <w:snapToGrid w:val="0"/>
                    <w:spacing w:line="288" w:lineRule="auto"/>
                    <w:rPr>
                      <w:b/>
                      <w:bCs/>
                      <w:szCs w:val="18"/>
                    </w:rPr>
                  </w:pPr>
                  <w:r>
                    <w:rPr>
                      <w:b/>
                      <w:bCs/>
                      <w:szCs w:val="18"/>
                    </w:rPr>
                    <w:t>100—500</w:t>
                  </w:r>
                </w:p>
              </w:tc>
              <w:tc>
                <w:tcPr>
                  <w:tcW w:w="1713" w:type="dxa"/>
                  <w:tcBorders>
                    <w:top w:val="outset" w:color="auto" w:sz="6" w:space="0"/>
                    <w:left w:val="outset" w:color="auto" w:sz="6" w:space="0"/>
                    <w:bottom w:val="outset" w:color="auto" w:sz="6" w:space="0"/>
                    <w:right w:val="outset" w:color="auto" w:sz="6" w:space="0"/>
                  </w:tcBorders>
                  <w:vAlign w:val="center"/>
                </w:tcPr>
                <w:p w14:paraId="3D2D66E9">
                  <w:pPr>
                    <w:adjustRightInd w:val="0"/>
                    <w:snapToGrid w:val="0"/>
                    <w:spacing w:line="288" w:lineRule="auto"/>
                    <w:jc w:val="center"/>
                    <w:rPr>
                      <w:b/>
                      <w:bCs/>
                      <w:szCs w:val="18"/>
                    </w:rPr>
                  </w:pPr>
                  <w:r>
                    <w:rPr>
                      <w:b/>
                      <w:bCs/>
                      <w:szCs w:val="18"/>
                    </w:rPr>
                    <w:t>1.1％</w:t>
                  </w:r>
                </w:p>
              </w:tc>
            </w:tr>
          </w:tbl>
          <w:p w14:paraId="3AB56303">
            <w:pPr>
              <w:spacing w:line="360" w:lineRule="auto"/>
              <w:jc w:val="left"/>
              <w:rPr>
                <w:rFonts w:ascii="宋体" w:hAnsi="宋体"/>
                <w:b/>
                <w:color w:val="000000"/>
                <w:sz w:val="24"/>
                <w:szCs w:val="24"/>
              </w:rPr>
            </w:pPr>
          </w:p>
        </w:tc>
      </w:tr>
      <w:tr w14:paraId="79CE95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6" w:hRule="atLeast"/>
        </w:trPr>
        <w:tc>
          <w:tcPr>
            <w:tcW w:w="1021" w:type="dxa"/>
            <w:vAlign w:val="center"/>
          </w:tcPr>
          <w:p w14:paraId="45846D84">
            <w:pPr>
              <w:jc w:val="center"/>
              <w:rPr>
                <w:rFonts w:ascii="宋体" w:hAnsi="宋体"/>
                <w:color w:val="000000"/>
                <w:sz w:val="24"/>
                <w:szCs w:val="24"/>
              </w:rPr>
            </w:pPr>
            <w:r>
              <w:rPr>
                <w:rFonts w:ascii="宋体" w:hAnsi="宋体"/>
                <w:color w:val="000000"/>
                <w:sz w:val="24"/>
                <w:szCs w:val="24"/>
              </w:rPr>
              <w:t>11.1</w:t>
            </w:r>
          </w:p>
        </w:tc>
        <w:tc>
          <w:tcPr>
            <w:tcW w:w="7512" w:type="dxa"/>
            <w:vAlign w:val="center"/>
          </w:tcPr>
          <w:p w14:paraId="046A370D">
            <w:pPr>
              <w:jc w:val="left"/>
              <w:rPr>
                <w:rFonts w:ascii="宋体" w:hAnsi="宋体"/>
                <w:i/>
                <w:color w:val="000000"/>
                <w:sz w:val="24"/>
                <w:szCs w:val="24"/>
              </w:rPr>
            </w:pPr>
            <w:r>
              <w:rPr>
                <w:rFonts w:ascii="宋体" w:hAnsi="宋体"/>
                <w:color w:val="000000"/>
                <w:sz w:val="24"/>
                <w:szCs w:val="24"/>
              </w:rPr>
              <w:t>投标货币：</w:t>
            </w:r>
            <w:r>
              <w:rPr>
                <w:rFonts w:ascii="宋体" w:hAnsi="宋体"/>
                <w:color w:val="000000"/>
                <w:sz w:val="24"/>
                <w:szCs w:val="24"/>
                <w:u w:val="single"/>
              </w:rPr>
              <w:t xml:space="preserve"> 人民币 </w:t>
            </w:r>
          </w:p>
        </w:tc>
      </w:tr>
      <w:tr w14:paraId="3E984F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48" w:hRule="atLeast"/>
        </w:trPr>
        <w:tc>
          <w:tcPr>
            <w:tcW w:w="8533" w:type="dxa"/>
            <w:gridSpan w:val="2"/>
            <w:vAlign w:val="center"/>
          </w:tcPr>
          <w:p w14:paraId="0558E6BB">
            <w:pPr>
              <w:jc w:val="center"/>
              <w:rPr>
                <w:rFonts w:ascii="宋体" w:hAnsi="宋体"/>
                <w:b/>
                <w:color w:val="000000"/>
                <w:sz w:val="24"/>
                <w:szCs w:val="24"/>
              </w:rPr>
            </w:pPr>
            <w:r>
              <w:rPr>
                <w:rFonts w:ascii="宋体" w:hAnsi="宋体"/>
                <w:b/>
                <w:color w:val="000000"/>
                <w:sz w:val="24"/>
                <w:szCs w:val="24"/>
              </w:rPr>
              <w:t>投 标 书 的 编 制 和 递 交</w:t>
            </w:r>
          </w:p>
        </w:tc>
      </w:tr>
      <w:tr w14:paraId="32AD7E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1021" w:type="dxa"/>
            <w:vAlign w:val="center"/>
          </w:tcPr>
          <w:p w14:paraId="742ECAD9">
            <w:pPr>
              <w:jc w:val="center"/>
              <w:rPr>
                <w:rFonts w:ascii="宋体" w:hAnsi="宋体"/>
                <w:color w:val="000000"/>
                <w:sz w:val="24"/>
                <w:szCs w:val="24"/>
              </w:rPr>
            </w:pPr>
            <w:r>
              <w:rPr>
                <w:rFonts w:ascii="宋体" w:hAnsi="宋体"/>
                <w:color w:val="000000"/>
                <w:sz w:val="24"/>
                <w:szCs w:val="24"/>
              </w:rPr>
              <w:t>14.1</w:t>
            </w:r>
          </w:p>
        </w:tc>
        <w:tc>
          <w:tcPr>
            <w:tcW w:w="7512" w:type="dxa"/>
            <w:tcBorders>
              <w:top w:val="single" w:color="auto" w:sz="12" w:space="0"/>
            </w:tcBorders>
            <w:vAlign w:val="center"/>
          </w:tcPr>
          <w:p w14:paraId="4228CF82">
            <w:pPr>
              <w:rPr>
                <w:rFonts w:ascii="宋体" w:hAnsi="宋体"/>
                <w:color w:val="000000"/>
                <w:sz w:val="24"/>
                <w:szCs w:val="24"/>
              </w:rPr>
            </w:pPr>
            <w:r>
              <w:rPr>
                <w:rFonts w:ascii="宋体" w:hAnsi="宋体"/>
                <w:color w:val="000000"/>
                <w:sz w:val="24"/>
                <w:szCs w:val="24"/>
              </w:rPr>
              <w:t>投标保证金金额：</w:t>
            </w:r>
            <w:r>
              <w:rPr>
                <w:rFonts w:ascii="宋体" w:hAnsi="宋体"/>
                <w:b/>
                <w:color w:val="000000"/>
                <w:sz w:val="24"/>
                <w:szCs w:val="24"/>
                <w:u w:val="single"/>
              </w:rPr>
              <w:t>人民币</w:t>
            </w:r>
            <w:r>
              <w:rPr>
                <w:rFonts w:hint="eastAsia" w:ascii="宋体" w:hAnsi="宋体"/>
                <w:b/>
                <w:color w:val="000000"/>
                <w:sz w:val="24"/>
                <w:szCs w:val="24"/>
                <w:u w:val="single"/>
              </w:rPr>
              <w:t>32</w:t>
            </w:r>
            <w:r>
              <w:rPr>
                <w:rFonts w:ascii="宋体" w:hAnsi="宋体"/>
                <w:b/>
                <w:color w:val="000000"/>
                <w:sz w:val="24"/>
                <w:szCs w:val="24"/>
                <w:u w:val="single"/>
              </w:rPr>
              <w:t>000.00元。</w:t>
            </w:r>
          </w:p>
        </w:tc>
      </w:tr>
      <w:tr w14:paraId="3851B2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vAlign w:val="center"/>
          </w:tcPr>
          <w:p w14:paraId="44DF9625">
            <w:pPr>
              <w:jc w:val="center"/>
              <w:rPr>
                <w:rFonts w:ascii="宋体" w:hAnsi="宋体"/>
                <w:color w:val="000000"/>
                <w:sz w:val="24"/>
                <w:szCs w:val="24"/>
              </w:rPr>
            </w:pPr>
            <w:r>
              <w:rPr>
                <w:rFonts w:ascii="宋体" w:hAnsi="宋体"/>
                <w:color w:val="000000"/>
                <w:sz w:val="24"/>
                <w:szCs w:val="24"/>
              </w:rPr>
              <w:t>14.3</w:t>
            </w:r>
          </w:p>
        </w:tc>
        <w:tc>
          <w:tcPr>
            <w:tcW w:w="7512" w:type="dxa"/>
          </w:tcPr>
          <w:p w14:paraId="508FD0FF">
            <w:pPr>
              <w:jc w:val="left"/>
              <w:rPr>
                <w:rFonts w:ascii="宋体" w:hAnsi="宋体"/>
                <w:color w:val="000000"/>
                <w:sz w:val="24"/>
                <w:szCs w:val="24"/>
                <w:u w:val="single"/>
              </w:rPr>
            </w:pPr>
            <w:r>
              <w:rPr>
                <w:rFonts w:ascii="宋体" w:hAnsi="宋体"/>
                <w:color w:val="000000"/>
                <w:sz w:val="24"/>
                <w:szCs w:val="24"/>
              </w:rPr>
              <w:t>投标保证金形式：</w:t>
            </w:r>
            <w:r>
              <w:rPr>
                <w:rFonts w:ascii="宋体" w:hAnsi="宋体"/>
                <w:color w:val="000000"/>
                <w:sz w:val="24"/>
                <w:szCs w:val="24"/>
                <w:u w:val="single"/>
              </w:rPr>
              <w:t>支票</w:t>
            </w:r>
            <w:r>
              <w:rPr>
                <w:rFonts w:ascii="宋体" w:hAnsi="宋体"/>
                <w:color w:val="000000"/>
                <w:sz w:val="24"/>
                <w:szCs w:val="24"/>
                <w:u w:val="single"/>
                <w:lang w:val="en-GB"/>
              </w:rPr>
              <w:t>、电汇、网银。</w:t>
            </w:r>
            <w:r>
              <w:rPr>
                <w:rFonts w:ascii="宋体" w:hAnsi="宋体"/>
                <w:color w:val="000000"/>
                <w:sz w:val="24"/>
                <w:szCs w:val="24"/>
              </w:rPr>
              <w:t>本项目不接受其他形式的投标保证金。</w:t>
            </w:r>
          </w:p>
        </w:tc>
      </w:tr>
      <w:tr w14:paraId="45F18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vAlign w:val="center"/>
          </w:tcPr>
          <w:p w14:paraId="31353B16">
            <w:pPr>
              <w:jc w:val="center"/>
              <w:rPr>
                <w:rFonts w:ascii="宋体" w:hAnsi="宋体"/>
                <w:color w:val="000000"/>
                <w:sz w:val="24"/>
                <w:szCs w:val="24"/>
              </w:rPr>
            </w:pPr>
            <w:r>
              <w:rPr>
                <w:rFonts w:ascii="宋体" w:hAnsi="宋体"/>
                <w:color w:val="000000"/>
                <w:sz w:val="24"/>
                <w:szCs w:val="24"/>
              </w:rPr>
              <w:t>15.1</w:t>
            </w:r>
          </w:p>
        </w:tc>
        <w:tc>
          <w:tcPr>
            <w:tcW w:w="7512" w:type="dxa"/>
            <w:vAlign w:val="center"/>
          </w:tcPr>
          <w:p w14:paraId="62287A88">
            <w:pPr>
              <w:rPr>
                <w:rFonts w:ascii="宋体" w:hAnsi="宋体"/>
                <w:i/>
                <w:color w:val="000000"/>
                <w:sz w:val="24"/>
                <w:szCs w:val="24"/>
              </w:rPr>
            </w:pPr>
            <w:r>
              <w:rPr>
                <w:rFonts w:ascii="宋体" w:hAnsi="宋体"/>
                <w:color w:val="000000"/>
                <w:sz w:val="24"/>
                <w:szCs w:val="24"/>
              </w:rPr>
              <w:t>投标有效期：</w:t>
            </w:r>
            <w:r>
              <w:rPr>
                <w:rFonts w:ascii="宋体" w:hAnsi="宋体"/>
                <w:color w:val="000000"/>
                <w:sz w:val="24"/>
                <w:szCs w:val="24"/>
                <w:u w:val="single"/>
              </w:rPr>
              <w:t>90</w:t>
            </w:r>
            <w:r>
              <w:rPr>
                <w:rFonts w:ascii="宋体" w:hAnsi="宋体"/>
                <w:color w:val="000000"/>
                <w:sz w:val="24"/>
                <w:szCs w:val="24"/>
              </w:rPr>
              <w:t>天。</w:t>
            </w:r>
          </w:p>
        </w:tc>
      </w:tr>
      <w:tr w14:paraId="7DF039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vAlign w:val="center"/>
          </w:tcPr>
          <w:p w14:paraId="5EF2797D">
            <w:pPr>
              <w:jc w:val="center"/>
              <w:rPr>
                <w:rFonts w:ascii="宋体" w:hAnsi="宋体"/>
                <w:color w:val="000000"/>
                <w:sz w:val="24"/>
                <w:szCs w:val="24"/>
              </w:rPr>
            </w:pPr>
            <w:r>
              <w:rPr>
                <w:rFonts w:ascii="宋体" w:hAnsi="宋体"/>
                <w:color w:val="000000"/>
                <w:sz w:val="24"/>
                <w:szCs w:val="24"/>
              </w:rPr>
              <w:t>16.1</w:t>
            </w:r>
          </w:p>
        </w:tc>
        <w:tc>
          <w:tcPr>
            <w:tcW w:w="7512" w:type="dxa"/>
            <w:vAlign w:val="center"/>
          </w:tcPr>
          <w:p w14:paraId="172B9498">
            <w:pPr>
              <w:jc w:val="left"/>
              <w:rPr>
                <w:rFonts w:ascii="宋体" w:hAnsi="宋体"/>
                <w:color w:val="000000"/>
                <w:sz w:val="24"/>
                <w:szCs w:val="24"/>
              </w:rPr>
            </w:pPr>
            <w:r>
              <w:rPr>
                <w:rFonts w:ascii="宋体" w:hAnsi="宋体"/>
                <w:color w:val="000000"/>
                <w:sz w:val="24"/>
                <w:szCs w:val="24"/>
              </w:rPr>
              <w:t>投标文件份数：</w:t>
            </w:r>
            <w:r>
              <w:rPr>
                <w:rFonts w:ascii="宋体" w:hAnsi="宋体"/>
                <w:color w:val="000000"/>
                <w:sz w:val="24"/>
                <w:szCs w:val="24"/>
                <w:u w:val="single"/>
              </w:rPr>
              <w:t>一份正本、四份副本及电子版投标文件1份（U盘，</w:t>
            </w:r>
            <w:r>
              <w:rPr>
                <w:rFonts w:ascii="宋体" w:hAnsi="宋体"/>
                <w:color w:val="000000"/>
                <w:sz w:val="24"/>
                <w:u w:val="single"/>
              </w:rPr>
              <w:t>内容必须包含Word版可编辑投标文件和经签字盖章后的投标文件正本的扫描件</w:t>
            </w:r>
            <w:r>
              <w:rPr>
                <w:rFonts w:ascii="宋体" w:hAnsi="宋体"/>
                <w:color w:val="000000"/>
                <w:sz w:val="24"/>
                <w:szCs w:val="24"/>
                <w:u w:val="single"/>
              </w:rPr>
              <w:t>）</w:t>
            </w:r>
            <w:r>
              <w:rPr>
                <w:rFonts w:ascii="宋体" w:hAnsi="宋体"/>
                <w:color w:val="000000"/>
                <w:sz w:val="24"/>
                <w:szCs w:val="24"/>
              </w:rPr>
              <w:t>。</w:t>
            </w:r>
          </w:p>
        </w:tc>
      </w:tr>
      <w:tr w14:paraId="0A36E5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vAlign w:val="center"/>
          </w:tcPr>
          <w:p w14:paraId="03CA6E0A">
            <w:pPr>
              <w:jc w:val="center"/>
              <w:rPr>
                <w:rFonts w:ascii="宋体" w:hAnsi="宋体"/>
                <w:color w:val="000000"/>
                <w:sz w:val="24"/>
                <w:szCs w:val="24"/>
              </w:rPr>
            </w:pPr>
            <w:r>
              <w:rPr>
                <w:rFonts w:ascii="宋体" w:hAnsi="宋体"/>
                <w:color w:val="000000"/>
                <w:sz w:val="24"/>
                <w:szCs w:val="24"/>
              </w:rPr>
              <w:t>17.2</w:t>
            </w:r>
          </w:p>
        </w:tc>
        <w:tc>
          <w:tcPr>
            <w:tcW w:w="7512" w:type="dxa"/>
            <w:vAlign w:val="center"/>
          </w:tcPr>
          <w:p w14:paraId="07EC2AE9">
            <w:pPr>
              <w:jc w:val="left"/>
              <w:rPr>
                <w:rFonts w:ascii="宋体" w:hAnsi="宋体"/>
                <w:i/>
                <w:color w:val="000000"/>
                <w:sz w:val="24"/>
                <w:szCs w:val="24"/>
              </w:rPr>
            </w:pPr>
            <w:r>
              <w:rPr>
                <w:rFonts w:ascii="宋体" w:hAnsi="宋体"/>
                <w:color w:val="000000"/>
                <w:sz w:val="24"/>
                <w:szCs w:val="24"/>
              </w:rPr>
              <w:t>投标书递交至：</w:t>
            </w:r>
            <w:r>
              <w:rPr>
                <w:rFonts w:ascii="宋体" w:hAnsi="宋体"/>
                <w:color w:val="000000"/>
                <w:sz w:val="24"/>
                <w:szCs w:val="24"/>
                <w:u w:val="single"/>
              </w:rPr>
              <w:t>开标地点</w:t>
            </w:r>
            <w:r>
              <w:rPr>
                <w:rFonts w:ascii="宋体" w:hAnsi="宋体"/>
                <w:color w:val="000000"/>
                <w:sz w:val="24"/>
                <w:szCs w:val="24"/>
              </w:rPr>
              <w:t>。</w:t>
            </w:r>
          </w:p>
        </w:tc>
      </w:tr>
      <w:tr w14:paraId="0D4053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vAlign w:val="center"/>
          </w:tcPr>
          <w:p w14:paraId="77186D3B">
            <w:pPr>
              <w:jc w:val="center"/>
              <w:rPr>
                <w:rFonts w:ascii="宋体" w:hAnsi="宋体"/>
                <w:color w:val="000000"/>
                <w:sz w:val="24"/>
                <w:szCs w:val="24"/>
              </w:rPr>
            </w:pPr>
            <w:r>
              <w:rPr>
                <w:rFonts w:ascii="宋体" w:hAnsi="宋体"/>
                <w:color w:val="000000"/>
                <w:sz w:val="24"/>
                <w:szCs w:val="24"/>
              </w:rPr>
              <w:t>17.2</w:t>
            </w:r>
          </w:p>
        </w:tc>
        <w:tc>
          <w:tcPr>
            <w:tcW w:w="7512" w:type="dxa"/>
            <w:vAlign w:val="center"/>
          </w:tcPr>
          <w:p w14:paraId="7F236E03">
            <w:pPr>
              <w:jc w:val="left"/>
              <w:rPr>
                <w:rFonts w:ascii="宋体" w:hAnsi="宋体"/>
                <w:i/>
                <w:color w:val="000000"/>
                <w:sz w:val="24"/>
                <w:szCs w:val="24"/>
              </w:rPr>
            </w:pPr>
            <w:r>
              <w:rPr>
                <w:rFonts w:ascii="宋体" w:hAnsi="宋体"/>
                <w:color w:val="000000"/>
                <w:sz w:val="24"/>
                <w:szCs w:val="24"/>
              </w:rPr>
              <w:t>招标编号：</w:t>
            </w:r>
            <w:r>
              <w:rPr>
                <w:rFonts w:ascii="宋体" w:hAnsi="宋体"/>
                <w:color w:val="000000"/>
                <w:sz w:val="24"/>
                <w:szCs w:val="24"/>
                <w:u w:val="single"/>
              </w:rPr>
              <w:t>BMCC-</w:t>
            </w:r>
            <w:r>
              <w:rPr>
                <w:rFonts w:hint="eastAsia" w:ascii="宋体" w:hAnsi="宋体"/>
                <w:color w:val="000000"/>
                <w:sz w:val="24"/>
                <w:szCs w:val="24"/>
                <w:u w:val="single"/>
              </w:rPr>
              <w:t>ZC24-1532</w:t>
            </w:r>
          </w:p>
        </w:tc>
      </w:tr>
      <w:tr w14:paraId="2703DA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vAlign w:val="center"/>
          </w:tcPr>
          <w:p w14:paraId="77CCD9C1">
            <w:pPr>
              <w:jc w:val="center"/>
              <w:rPr>
                <w:rFonts w:ascii="宋体" w:hAnsi="宋体"/>
                <w:color w:val="000000"/>
                <w:sz w:val="24"/>
                <w:szCs w:val="24"/>
              </w:rPr>
            </w:pPr>
            <w:r>
              <w:rPr>
                <w:rFonts w:ascii="宋体" w:hAnsi="宋体"/>
                <w:color w:val="000000"/>
                <w:sz w:val="24"/>
                <w:szCs w:val="24"/>
              </w:rPr>
              <w:t>18.1</w:t>
            </w:r>
          </w:p>
        </w:tc>
        <w:tc>
          <w:tcPr>
            <w:tcW w:w="7512" w:type="dxa"/>
            <w:vAlign w:val="center"/>
          </w:tcPr>
          <w:p w14:paraId="08CAAF90">
            <w:pPr>
              <w:jc w:val="left"/>
              <w:rPr>
                <w:rFonts w:ascii="宋体" w:hAnsi="宋体"/>
                <w:color w:val="000000"/>
                <w:sz w:val="24"/>
                <w:szCs w:val="24"/>
              </w:rPr>
            </w:pPr>
            <w:r>
              <w:rPr>
                <w:rFonts w:ascii="宋体" w:hAnsi="宋体"/>
                <w:color w:val="000000"/>
                <w:sz w:val="24"/>
                <w:szCs w:val="24"/>
              </w:rPr>
              <w:t>投标截止期：</w:t>
            </w:r>
            <w:r>
              <w:rPr>
                <w:rFonts w:ascii="宋体" w:hAnsi="宋体"/>
                <w:color w:val="000000"/>
                <w:sz w:val="24"/>
                <w:szCs w:val="24"/>
                <w:u w:val="single"/>
              </w:rPr>
              <w:t xml:space="preserve">见第一章投标邀请 </w:t>
            </w:r>
            <w:r>
              <w:rPr>
                <w:rFonts w:ascii="宋体" w:hAnsi="宋体"/>
                <w:color w:val="000000"/>
                <w:sz w:val="24"/>
                <w:szCs w:val="24"/>
              </w:rPr>
              <w:t xml:space="preserve"> </w:t>
            </w:r>
          </w:p>
          <w:p w14:paraId="62BDD0E5">
            <w:pPr>
              <w:jc w:val="left"/>
              <w:rPr>
                <w:rFonts w:ascii="宋体" w:hAnsi="宋体"/>
                <w:color w:val="000000"/>
                <w:sz w:val="24"/>
                <w:szCs w:val="24"/>
              </w:rPr>
            </w:pPr>
            <w:r>
              <w:rPr>
                <w:rFonts w:ascii="宋体" w:hAnsi="宋体"/>
                <w:color w:val="000000"/>
                <w:sz w:val="24"/>
                <w:szCs w:val="24"/>
              </w:rPr>
              <w:t>时间：</w:t>
            </w:r>
            <w:r>
              <w:rPr>
                <w:rFonts w:ascii="宋体" w:hAnsi="宋体"/>
                <w:color w:val="000000"/>
                <w:sz w:val="24"/>
                <w:szCs w:val="24"/>
                <w:u w:val="single"/>
              </w:rPr>
              <w:t>见第一章投标邀请</w:t>
            </w:r>
            <w:r>
              <w:rPr>
                <w:rFonts w:ascii="宋体" w:hAnsi="宋体"/>
                <w:color w:val="000000"/>
                <w:sz w:val="24"/>
                <w:szCs w:val="24"/>
              </w:rPr>
              <w:t>。</w:t>
            </w:r>
          </w:p>
        </w:tc>
      </w:tr>
      <w:tr w14:paraId="3E6071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vAlign w:val="center"/>
          </w:tcPr>
          <w:p w14:paraId="59D3DDE8">
            <w:pPr>
              <w:jc w:val="center"/>
              <w:rPr>
                <w:rFonts w:ascii="宋体" w:hAnsi="宋体"/>
                <w:color w:val="000000"/>
                <w:sz w:val="24"/>
                <w:szCs w:val="24"/>
              </w:rPr>
            </w:pPr>
            <w:r>
              <w:rPr>
                <w:rFonts w:ascii="宋体" w:hAnsi="宋体"/>
                <w:color w:val="000000"/>
                <w:sz w:val="24"/>
                <w:szCs w:val="24"/>
              </w:rPr>
              <w:t>21.1</w:t>
            </w:r>
          </w:p>
        </w:tc>
        <w:tc>
          <w:tcPr>
            <w:tcW w:w="7512" w:type="dxa"/>
          </w:tcPr>
          <w:p w14:paraId="2FF4F6C8">
            <w:pPr>
              <w:jc w:val="left"/>
              <w:rPr>
                <w:rFonts w:ascii="宋体" w:hAnsi="宋体"/>
                <w:color w:val="000000"/>
                <w:sz w:val="24"/>
                <w:szCs w:val="24"/>
              </w:rPr>
            </w:pPr>
            <w:r>
              <w:rPr>
                <w:rFonts w:ascii="宋体" w:hAnsi="宋体"/>
                <w:color w:val="000000"/>
                <w:sz w:val="24"/>
                <w:szCs w:val="24"/>
              </w:rPr>
              <w:t>开标日期：</w:t>
            </w:r>
            <w:r>
              <w:rPr>
                <w:rFonts w:ascii="宋体" w:hAnsi="宋体"/>
                <w:color w:val="000000"/>
                <w:sz w:val="24"/>
                <w:szCs w:val="24"/>
                <w:u w:val="single"/>
              </w:rPr>
              <w:t xml:space="preserve">见第一章投标邀请 </w:t>
            </w:r>
            <w:r>
              <w:rPr>
                <w:rFonts w:ascii="宋体" w:hAnsi="宋体"/>
                <w:color w:val="000000"/>
                <w:sz w:val="24"/>
                <w:szCs w:val="24"/>
              </w:rPr>
              <w:t xml:space="preserve"> </w:t>
            </w:r>
          </w:p>
          <w:p w14:paraId="63AC26E7">
            <w:pPr>
              <w:jc w:val="left"/>
              <w:rPr>
                <w:rFonts w:ascii="宋体" w:hAnsi="宋体"/>
                <w:color w:val="000000"/>
                <w:sz w:val="24"/>
                <w:szCs w:val="24"/>
              </w:rPr>
            </w:pPr>
            <w:r>
              <w:rPr>
                <w:rFonts w:ascii="宋体" w:hAnsi="宋体"/>
                <w:color w:val="000000"/>
                <w:sz w:val="24"/>
                <w:szCs w:val="24"/>
              </w:rPr>
              <w:t>时间：</w:t>
            </w:r>
            <w:r>
              <w:rPr>
                <w:rFonts w:ascii="宋体" w:hAnsi="宋体"/>
                <w:color w:val="000000"/>
                <w:sz w:val="24"/>
                <w:szCs w:val="24"/>
                <w:u w:val="single"/>
              </w:rPr>
              <w:t>见第一章投标邀请</w:t>
            </w:r>
            <w:r>
              <w:rPr>
                <w:rFonts w:ascii="宋体" w:hAnsi="宋体"/>
                <w:color w:val="000000"/>
                <w:sz w:val="24"/>
                <w:szCs w:val="24"/>
              </w:rPr>
              <w:t>。</w:t>
            </w:r>
          </w:p>
          <w:p w14:paraId="5E5D5A5C">
            <w:pPr>
              <w:spacing w:line="320" w:lineRule="exact"/>
              <w:ind w:left="1200" w:hanging="1200" w:hangingChars="500"/>
              <w:rPr>
                <w:rFonts w:ascii="宋体" w:hAnsi="宋体"/>
                <w:color w:val="000000"/>
                <w:sz w:val="24"/>
                <w:szCs w:val="24"/>
              </w:rPr>
            </w:pPr>
            <w:r>
              <w:rPr>
                <w:rFonts w:ascii="宋体" w:hAnsi="宋体"/>
                <w:color w:val="000000"/>
                <w:sz w:val="24"/>
                <w:szCs w:val="24"/>
              </w:rPr>
              <w:t>开标地点：</w:t>
            </w:r>
            <w:r>
              <w:rPr>
                <w:rFonts w:ascii="宋体" w:hAnsi="宋体"/>
                <w:color w:val="000000"/>
                <w:sz w:val="24"/>
                <w:szCs w:val="24"/>
                <w:u w:val="single"/>
              </w:rPr>
              <w:t>见第一章投标邀请</w:t>
            </w:r>
            <w:r>
              <w:rPr>
                <w:rFonts w:ascii="宋体" w:hAnsi="宋体"/>
                <w:color w:val="000000"/>
                <w:sz w:val="24"/>
                <w:szCs w:val="24"/>
              </w:rPr>
              <w:t>。</w:t>
            </w:r>
          </w:p>
        </w:tc>
      </w:tr>
      <w:tr w14:paraId="1992AA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vAlign w:val="center"/>
          </w:tcPr>
          <w:p w14:paraId="14F24C21">
            <w:pPr>
              <w:jc w:val="center"/>
              <w:rPr>
                <w:rFonts w:ascii="宋体" w:hAnsi="宋体"/>
                <w:color w:val="000000"/>
                <w:sz w:val="24"/>
                <w:szCs w:val="24"/>
              </w:rPr>
            </w:pPr>
            <w:r>
              <w:rPr>
                <w:rFonts w:ascii="宋体" w:hAnsi="宋体"/>
                <w:color w:val="000000"/>
                <w:sz w:val="24"/>
                <w:szCs w:val="24"/>
              </w:rPr>
              <w:t>25.2</w:t>
            </w:r>
          </w:p>
        </w:tc>
        <w:tc>
          <w:tcPr>
            <w:tcW w:w="7512" w:type="dxa"/>
            <w:vAlign w:val="center"/>
          </w:tcPr>
          <w:p w14:paraId="2E5F5027">
            <w:pPr>
              <w:rPr>
                <w:rFonts w:ascii="宋体" w:hAnsi="宋体"/>
                <w:color w:val="000000"/>
                <w:sz w:val="24"/>
                <w:szCs w:val="24"/>
              </w:rPr>
            </w:pPr>
            <w:r>
              <w:rPr>
                <w:rFonts w:ascii="宋体" w:hAnsi="宋体"/>
                <w:color w:val="000000"/>
                <w:sz w:val="24"/>
                <w:szCs w:val="24"/>
              </w:rPr>
              <w:t>最低投标价不是中标唯一条件。</w:t>
            </w:r>
          </w:p>
        </w:tc>
      </w:tr>
    </w:tbl>
    <w:p w14:paraId="2AA5E0E1">
      <w:pPr>
        <w:pStyle w:val="2"/>
        <w:spacing w:after="0"/>
        <w:jc w:val="center"/>
        <w:rPr>
          <w:rFonts w:ascii="宋体" w:hAnsi="宋体"/>
          <w:color w:val="000000"/>
          <w:sz w:val="24"/>
          <w:szCs w:val="24"/>
        </w:rPr>
      </w:pPr>
      <w:bookmarkStart w:id="5" w:name="_Toc73427777"/>
      <w:r>
        <w:rPr>
          <w:rFonts w:hint="eastAsia" w:ascii="宋体" w:hAnsi="宋体"/>
          <w:color w:val="000000"/>
          <w:sz w:val="24"/>
          <w:szCs w:val="24"/>
        </w:rPr>
        <w:br w:type="page"/>
      </w:r>
      <w:bookmarkStart w:id="6" w:name="_Toc15603"/>
      <w:r>
        <w:rPr>
          <w:rFonts w:hint="eastAsia" w:ascii="宋体" w:hAnsi="宋体"/>
          <w:color w:val="000000"/>
          <w:sz w:val="24"/>
          <w:szCs w:val="24"/>
        </w:rPr>
        <w:t>第三章  投标人须知</w:t>
      </w:r>
      <w:bookmarkEnd w:id="5"/>
      <w:bookmarkEnd w:id="6"/>
    </w:p>
    <w:p w14:paraId="38B0E2AB">
      <w:pPr>
        <w:pStyle w:val="3"/>
        <w:rPr>
          <w:rFonts w:ascii="宋体" w:hAnsi="宋体" w:eastAsia="宋体"/>
          <w:color w:val="000000"/>
          <w:sz w:val="24"/>
          <w:szCs w:val="24"/>
        </w:rPr>
      </w:pPr>
      <w:bookmarkStart w:id="7" w:name="_Toc73427778"/>
      <w:r>
        <w:rPr>
          <w:rFonts w:hint="eastAsia" w:ascii="宋体" w:hAnsi="宋体" w:eastAsia="宋体"/>
          <w:color w:val="000000"/>
          <w:sz w:val="24"/>
          <w:szCs w:val="24"/>
        </w:rPr>
        <w:t>一 说  明</w:t>
      </w:r>
      <w:bookmarkEnd w:id="7"/>
    </w:p>
    <w:p w14:paraId="74F4862C">
      <w:pPr>
        <w:pStyle w:val="4"/>
        <w:rPr>
          <w:rFonts w:ascii="宋体" w:hAnsi="宋体"/>
          <w:color w:val="000000"/>
          <w:sz w:val="24"/>
          <w:szCs w:val="24"/>
        </w:rPr>
      </w:pPr>
      <w:bookmarkStart w:id="8" w:name="_Toc73427779"/>
      <w:r>
        <w:rPr>
          <w:rFonts w:hint="eastAsia" w:ascii="宋体" w:hAnsi="宋体"/>
          <w:color w:val="000000"/>
          <w:sz w:val="24"/>
          <w:szCs w:val="24"/>
        </w:rPr>
        <w:t>1．资金来源</w:t>
      </w:r>
      <w:bookmarkEnd w:id="8"/>
    </w:p>
    <w:p w14:paraId="63CC2DD5">
      <w:pPr>
        <w:numPr>
          <w:ilvl w:val="0"/>
          <w:numId w:val="4"/>
        </w:numPr>
        <w:spacing w:line="360" w:lineRule="auto"/>
        <w:rPr>
          <w:rFonts w:ascii="宋体" w:hAnsi="宋体"/>
          <w:color w:val="000000"/>
          <w:sz w:val="24"/>
          <w:szCs w:val="24"/>
        </w:rPr>
      </w:pPr>
      <w:r>
        <w:rPr>
          <w:rFonts w:hint="eastAsia" w:ascii="宋体" w:hAnsi="宋体"/>
          <w:color w:val="000000"/>
          <w:sz w:val="24"/>
          <w:szCs w:val="24"/>
        </w:rPr>
        <w:t>“投标资料表”中所述的招标人已获得用于支付本次招标后所签订的合同项下的资金。</w:t>
      </w:r>
    </w:p>
    <w:p w14:paraId="2B073B4B">
      <w:pPr>
        <w:pStyle w:val="4"/>
        <w:rPr>
          <w:rFonts w:ascii="宋体" w:hAnsi="宋体"/>
          <w:color w:val="000000"/>
          <w:sz w:val="24"/>
          <w:szCs w:val="24"/>
        </w:rPr>
      </w:pPr>
      <w:bookmarkStart w:id="9" w:name="_Toc73427780"/>
      <w:r>
        <w:rPr>
          <w:rFonts w:hint="eastAsia" w:ascii="宋体" w:hAnsi="宋体"/>
          <w:color w:val="000000"/>
          <w:sz w:val="24"/>
          <w:szCs w:val="24"/>
        </w:rPr>
        <w:t>2．招标代理机构及合格的投标人</w:t>
      </w:r>
      <w:bookmarkEnd w:id="9"/>
    </w:p>
    <w:p w14:paraId="4F7A69D6">
      <w:pPr>
        <w:spacing w:line="360" w:lineRule="auto"/>
        <w:ind w:left="1078" w:leftChars="285" w:hanging="480" w:hangingChars="200"/>
        <w:rPr>
          <w:rFonts w:ascii="宋体" w:hAnsi="宋体"/>
          <w:color w:val="000000"/>
          <w:sz w:val="24"/>
        </w:rPr>
      </w:pPr>
      <w:r>
        <w:rPr>
          <w:rFonts w:hint="eastAsia" w:ascii="宋体" w:hAnsi="宋体"/>
          <w:color w:val="000000"/>
          <w:sz w:val="24"/>
        </w:rPr>
        <w:t>2.1招标代理机构：系指招标人委托的招标代理机构。本项目的招标人：北京理工物业管理有限公司；本项目的招标代理机构：</w:t>
      </w:r>
      <w:r>
        <w:rPr>
          <w:rFonts w:hint="eastAsia" w:ascii="宋体" w:hAnsi="宋体"/>
          <w:color w:val="000000"/>
          <w:sz w:val="24"/>
          <w:szCs w:val="24"/>
        </w:rPr>
        <w:t>北京明德致信咨询有限公司</w:t>
      </w:r>
      <w:r>
        <w:rPr>
          <w:rFonts w:hint="eastAsia" w:ascii="宋体" w:hAnsi="宋体"/>
          <w:color w:val="000000"/>
          <w:sz w:val="24"/>
        </w:rPr>
        <w:t>。</w:t>
      </w:r>
    </w:p>
    <w:p w14:paraId="263B1C6C">
      <w:pPr>
        <w:spacing w:line="360" w:lineRule="auto"/>
        <w:ind w:firstLine="600" w:firstLineChars="250"/>
        <w:rPr>
          <w:rFonts w:ascii="宋体" w:hAnsi="宋体"/>
          <w:color w:val="000000"/>
          <w:sz w:val="24"/>
          <w:szCs w:val="24"/>
        </w:rPr>
      </w:pPr>
      <w:r>
        <w:rPr>
          <w:rFonts w:hint="eastAsia" w:ascii="宋体" w:hAnsi="宋体"/>
          <w:color w:val="000000"/>
          <w:sz w:val="24"/>
          <w:szCs w:val="24"/>
        </w:rPr>
        <w:t>2.2 合格的投标人</w:t>
      </w:r>
    </w:p>
    <w:p w14:paraId="44BE215E">
      <w:pPr>
        <w:numPr>
          <w:ilvl w:val="0"/>
          <w:numId w:val="5"/>
        </w:numPr>
        <w:tabs>
          <w:tab w:val="left" w:pos="900"/>
          <w:tab w:val="clear" w:pos="990"/>
        </w:tabs>
        <w:spacing w:before="240" w:line="360" w:lineRule="auto"/>
        <w:ind w:left="900" w:firstLine="0"/>
        <w:rPr>
          <w:rFonts w:ascii="宋体" w:hAnsi="宋体"/>
          <w:color w:val="000000"/>
          <w:sz w:val="24"/>
        </w:rPr>
      </w:pPr>
      <w:r>
        <w:rPr>
          <w:rFonts w:hint="eastAsia" w:ascii="宋体" w:hAnsi="宋体"/>
          <w:color w:val="000000"/>
          <w:sz w:val="24"/>
        </w:rPr>
        <w:t>在中华人民共和国境内</w:t>
      </w:r>
      <w:r>
        <w:rPr>
          <w:rFonts w:hint="eastAsia" w:hAnsi="宋体"/>
          <w:bCs/>
          <w:color w:val="000000"/>
          <w:kern w:val="0"/>
          <w:sz w:val="24"/>
        </w:rPr>
        <w:t>（不包括港澳台）</w:t>
      </w:r>
      <w:r>
        <w:rPr>
          <w:rFonts w:hint="eastAsia" w:ascii="宋体" w:hAnsi="宋体"/>
          <w:color w:val="000000"/>
          <w:sz w:val="24"/>
        </w:rPr>
        <w:t>合法注册的，具有独立法人资格的，符合国家法律规定，进行工商税务登记，有能力提供相应商品和服务的制造商或代理商，包括</w:t>
      </w:r>
      <w:r>
        <w:rPr>
          <w:rFonts w:ascii="宋体" w:hAnsi="宋体"/>
          <w:color w:val="000000"/>
          <w:sz w:val="24"/>
        </w:rPr>
        <w:t>法人或者其他组织</w:t>
      </w:r>
      <w:r>
        <w:rPr>
          <w:rFonts w:hint="eastAsia" w:ascii="宋体" w:hAnsi="宋体"/>
          <w:color w:val="000000"/>
          <w:sz w:val="24"/>
        </w:rPr>
        <w:t>；</w:t>
      </w:r>
    </w:p>
    <w:p w14:paraId="4D12ED96">
      <w:pPr>
        <w:numPr>
          <w:ilvl w:val="0"/>
          <w:numId w:val="5"/>
        </w:numPr>
        <w:tabs>
          <w:tab w:val="left" w:pos="900"/>
          <w:tab w:val="clear" w:pos="990"/>
        </w:tabs>
        <w:spacing w:line="360" w:lineRule="auto"/>
        <w:ind w:left="900" w:firstLine="0"/>
        <w:rPr>
          <w:rFonts w:ascii="宋体" w:hAnsi="宋体"/>
          <w:color w:val="000000"/>
          <w:sz w:val="24"/>
        </w:rPr>
      </w:pPr>
      <w:r>
        <w:rPr>
          <w:rFonts w:hint="eastAsia" w:ascii="宋体" w:hAnsi="宋体"/>
          <w:color w:val="000000"/>
          <w:sz w:val="24"/>
        </w:rPr>
        <w:t>投标人必须向按照公告要求向招标代理机构购买招标文件，否则无资格参加本次投标；</w:t>
      </w:r>
    </w:p>
    <w:p w14:paraId="6A31768C">
      <w:pPr>
        <w:numPr>
          <w:ilvl w:val="0"/>
          <w:numId w:val="5"/>
        </w:numPr>
        <w:spacing w:line="360" w:lineRule="auto"/>
        <w:ind w:hanging="90"/>
        <w:rPr>
          <w:rFonts w:ascii="宋体" w:hAnsi="宋体"/>
          <w:color w:val="000000"/>
          <w:sz w:val="24"/>
          <w:szCs w:val="24"/>
        </w:rPr>
      </w:pPr>
      <w:r>
        <w:rPr>
          <w:rFonts w:hint="eastAsia" w:ascii="宋体" w:hAnsi="宋体"/>
          <w:color w:val="000000"/>
          <w:sz w:val="24"/>
        </w:rPr>
        <w:t>投标人具有良好的商业信誉和健全的财务会计制度，有依法缴纳税收和社会保障资金的良好记录</w:t>
      </w:r>
      <w:r>
        <w:rPr>
          <w:rFonts w:hint="eastAsia" w:ascii="宋体" w:hAnsi="宋体"/>
          <w:color w:val="000000"/>
          <w:sz w:val="24"/>
          <w:szCs w:val="24"/>
        </w:rPr>
        <w:t>；</w:t>
      </w:r>
    </w:p>
    <w:p w14:paraId="069DB7A6">
      <w:pPr>
        <w:numPr>
          <w:ilvl w:val="0"/>
          <w:numId w:val="5"/>
        </w:numPr>
        <w:spacing w:line="360" w:lineRule="auto"/>
        <w:ind w:hanging="90"/>
        <w:rPr>
          <w:rFonts w:ascii="宋体" w:hAnsi="宋体"/>
          <w:color w:val="000000"/>
          <w:sz w:val="24"/>
          <w:szCs w:val="24"/>
        </w:rPr>
      </w:pPr>
      <w:r>
        <w:rPr>
          <w:rFonts w:hint="eastAsia" w:ascii="宋体" w:hAnsi="宋体"/>
          <w:color w:val="000000"/>
          <w:sz w:val="24"/>
        </w:rPr>
        <w:t>投标人只有在法律上和财务上独立、合法运作并独立于招标人的投标人才能参加投标；</w:t>
      </w:r>
    </w:p>
    <w:p w14:paraId="6B9B0629">
      <w:pPr>
        <w:numPr>
          <w:ilvl w:val="0"/>
          <w:numId w:val="5"/>
        </w:numPr>
        <w:spacing w:line="360" w:lineRule="auto"/>
        <w:ind w:hanging="90"/>
        <w:rPr>
          <w:rFonts w:ascii="宋体" w:hAnsi="宋体"/>
          <w:color w:val="000000"/>
          <w:sz w:val="24"/>
          <w:szCs w:val="24"/>
        </w:rPr>
      </w:pPr>
      <w:r>
        <w:rPr>
          <w:rFonts w:hint="eastAsia" w:ascii="宋体" w:hAnsi="宋体"/>
          <w:color w:val="000000"/>
          <w:sz w:val="24"/>
        </w:rPr>
        <w:t>投标人应遵守有关的中国法律和法规。</w:t>
      </w:r>
    </w:p>
    <w:p w14:paraId="35484F34">
      <w:pPr>
        <w:numPr>
          <w:ilvl w:val="0"/>
          <w:numId w:val="5"/>
        </w:numPr>
        <w:spacing w:line="360" w:lineRule="auto"/>
        <w:ind w:hanging="90"/>
        <w:rPr>
          <w:rFonts w:ascii="宋体" w:hAnsi="宋体"/>
          <w:color w:val="000000"/>
          <w:sz w:val="24"/>
        </w:rPr>
      </w:pPr>
      <w:r>
        <w:rPr>
          <w:rFonts w:hint="eastAsia" w:ascii="宋体" w:hAnsi="宋体"/>
          <w:color w:val="000000"/>
          <w:sz w:val="24"/>
        </w:rPr>
        <w:t>投标人参加此采购活动前三年内，在经营活动中没有重大违法记录。</w:t>
      </w:r>
      <w:r>
        <w:rPr>
          <w:rFonts w:ascii="宋体" w:hAnsi="宋体"/>
          <w:color w:val="000000"/>
          <w:sz w:val="24"/>
        </w:rPr>
        <w:t>重大违法记录，是指供应商因违法经营受到刑事处罚或者责令停产停业、吊销许可证或者执照、较大数额罚款等行政处罚。供应商在参加</w:t>
      </w:r>
      <w:r>
        <w:rPr>
          <w:rFonts w:hint="eastAsia" w:ascii="宋体" w:hAnsi="宋体"/>
          <w:color w:val="000000"/>
          <w:sz w:val="24"/>
        </w:rPr>
        <w:t>本次</w:t>
      </w:r>
      <w:r>
        <w:rPr>
          <w:rFonts w:ascii="宋体" w:hAnsi="宋体"/>
          <w:color w:val="000000"/>
          <w:sz w:val="24"/>
        </w:rPr>
        <w:t>采购活动前</w:t>
      </w:r>
      <w:r>
        <w:rPr>
          <w:rFonts w:hint="eastAsia" w:ascii="宋体" w:hAnsi="宋体"/>
          <w:color w:val="000000"/>
          <w:sz w:val="24"/>
        </w:rPr>
        <w:t>三</w:t>
      </w:r>
      <w:r>
        <w:rPr>
          <w:rFonts w:ascii="宋体" w:hAnsi="宋体"/>
          <w:color w:val="000000"/>
          <w:sz w:val="24"/>
        </w:rPr>
        <w:t>年内因违法经营被禁止在一定期限内参加采购活动，期限届满的，可以参加</w:t>
      </w:r>
      <w:r>
        <w:rPr>
          <w:rFonts w:hint="eastAsia" w:ascii="宋体" w:hAnsi="宋体"/>
          <w:color w:val="000000"/>
          <w:sz w:val="24"/>
        </w:rPr>
        <w:t>本次招标</w:t>
      </w:r>
      <w:r>
        <w:rPr>
          <w:rFonts w:ascii="宋体" w:hAnsi="宋体"/>
          <w:color w:val="000000"/>
          <w:sz w:val="24"/>
        </w:rPr>
        <w:t>。</w:t>
      </w:r>
      <w:r>
        <w:rPr>
          <w:rFonts w:hint="eastAsia" w:ascii="宋体" w:hAnsi="宋体"/>
          <w:color w:val="000000"/>
          <w:sz w:val="24"/>
        </w:rPr>
        <w:t>投标人还应通过“信用中国”网站（www.creditchina.gov.cn）和中国政府采购网（www.ccgp.gov.cn）等渠道查询其主体信用记录无失信被执行人、不在重大税收违法案件当事人名单之中、不在严重违法失信行为记录名单之中，否则本次投标将被拒绝；</w:t>
      </w:r>
    </w:p>
    <w:p w14:paraId="2E0CA341">
      <w:pPr>
        <w:numPr>
          <w:ilvl w:val="0"/>
          <w:numId w:val="6"/>
        </w:numPr>
        <w:spacing w:line="360" w:lineRule="auto"/>
        <w:ind w:left="840" w:leftChars="400"/>
        <w:rPr>
          <w:rFonts w:hint="eastAsia" w:ascii="宋体" w:hAnsi="宋体"/>
          <w:color w:val="000000"/>
          <w:sz w:val="24"/>
        </w:rPr>
      </w:pPr>
      <w:r>
        <w:rPr>
          <w:rFonts w:hint="eastAsia" w:ascii="宋体" w:hAnsi="宋体" w:cs="宋体"/>
          <w:color w:val="000000"/>
          <w:kern w:val="0"/>
          <w:sz w:val="24"/>
          <w:szCs w:val="24"/>
        </w:rPr>
        <w:t>与招标人存在利害关系可能影响招标公正性的法人、其他组织或者个人，不得参加投标；</w:t>
      </w:r>
      <w:r>
        <w:rPr>
          <w:rFonts w:hint="eastAsia" w:ascii="宋体" w:hAnsi="宋体"/>
          <w:color w:val="000000"/>
          <w:sz w:val="24"/>
          <w:szCs w:val="21"/>
        </w:rPr>
        <w:t>单位负责人为同一人或者存在直接控股、管理关系的不同供应商，不得同时参加本项目的投标；为本项目提供整体设计、规范编制或者项目管理、监理、检测等服务的供应商，不得再参加该项目的投标；</w:t>
      </w:r>
      <w:r>
        <w:rPr>
          <w:rFonts w:hint="eastAsia" w:ascii="宋体" w:hAnsi="宋体"/>
          <w:color w:val="000000"/>
          <w:sz w:val="24"/>
        </w:rPr>
        <w:t>本项目的招标代理机构及其分支机构不得参加本项目的投标或者代理投标。</w:t>
      </w:r>
    </w:p>
    <w:p w14:paraId="30F9F1C5">
      <w:pPr>
        <w:numPr>
          <w:ilvl w:val="0"/>
          <w:numId w:val="6"/>
        </w:numPr>
        <w:spacing w:line="360" w:lineRule="auto"/>
        <w:ind w:left="840" w:leftChars="400"/>
        <w:rPr>
          <w:rFonts w:hint="eastAsia" w:ascii="宋体" w:hAnsi="宋体"/>
          <w:color w:val="000000"/>
          <w:sz w:val="24"/>
        </w:rPr>
      </w:pPr>
      <w:r>
        <w:rPr>
          <w:rFonts w:hint="eastAsia" w:ascii="宋体" w:hAnsi="宋体"/>
          <w:color w:val="000000"/>
          <w:sz w:val="24"/>
        </w:rPr>
        <w:t>本项目不接受联合体投标。</w:t>
      </w:r>
    </w:p>
    <w:p w14:paraId="4D88E057">
      <w:pPr>
        <w:numPr>
          <w:ilvl w:val="0"/>
          <w:numId w:val="6"/>
        </w:numPr>
        <w:spacing w:line="360" w:lineRule="auto"/>
        <w:ind w:left="840" w:leftChars="400"/>
        <w:rPr>
          <w:rFonts w:ascii="宋体" w:hAnsi="宋体"/>
          <w:color w:val="000000"/>
          <w:sz w:val="24"/>
        </w:rPr>
      </w:pPr>
      <w:r>
        <w:rPr>
          <w:rFonts w:hint="eastAsia" w:ascii="宋体" w:hAnsi="宋体"/>
          <w:color w:val="000000"/>
          <w:sz w:val="24"/>
        </w:rPr>
        <w:t>所投产品为《道路机动车辆生产企业及产品公告》目录内产品，所投产品厂商应为中央国家机关汽车协议供货入围供应商</w:t>
      </w:r>
      <w:r>
        <w:rPr>
          <w:rFonts w:hint="eastAsia" w:ascii="宋体" w:hAnsi="宋体"/>
          <w:color w:val="000000"/>
          <w:sz w:val="24"/>
          <w:lang w:eastAsia="zh-CN"/>
        </w:rPr>
        <w:t>。</w:t>
      </w:r>
      <w:r>
        <w:rPr>
          <w:rFonts w:ascii="宋体" w:hAnsi="宋体"/>
          <w:color w:val="000000"/>
          <w:sz w:val="24"/>
        </w:rPr>
        <w:t xml:space="preserve"> </w:t>
      </w:r>
    </w:p>
    <w:p w14:paraId="4DE3826F">
      <w:pPr>
        <w:spacing w:before="120" w:line="360" w:lineRule="auto"/>
        <w:ind w:left="1110" w:leftChars="300" w:hanging="480" w:hangingChars="200"/>
        <w:rPr>
          <w:rFonts w:ascii="宋体" w:hAnsi="宋体"/>
          <w:color w:val="000000"/>
          <w:sz w:val="24"/>
        </w:rPr>
      </w:pPr>
      <w:r>
        <w:rPr>
          <w:rFonts w:hint="eastAsia" w:ascii="宋体" w:hAnsi="宋体"/>
          <w:color w:val="000000"/>
          <w:sz w:val="24"/>
        </w:rPr>
        <w:t>2.3投标人在投标过程中不得向招标代理机构或评标委员会行贿或者采取不正当手段，影响其正常决策行为。一经发现，其投标人资格将被取消。</w:t>
      </w:r>
    </w:p>
    <w:p w14:paraId="2C0FC620">
      <w:pPr>
        <w:spacing w:before="120" w:line="360" w:lineRule="auto"/>
        <w:ind w:left="1230" w:leftChars="300" w:hanging="600" w:hangingChars="250"/>
        <w:rPr>
          <w:rFonts w:ascii="宋体" w:hAnsi="宋体"/>
          <w:color w:val="000000"/>
          <w:sz w:val="24"/>
        </w:rPr>
      </w:pPr>
      <w:r>
        <w:rPr>
          <w:rFonts w:hint="eastAsia" w:ascii="宋体" w:hAnsi="宋体"/>
          <w:color w:val="000000"/>
          <w:sz w:val="24"/>
        </w:rPr>
        <w:t>2.4</w:t>
      </w:r>
      <w:r>
        <w:rPr>
          <w:rFonts w:hint="eastAsia" w:ascii="宋体" w:hAnsi="宋体"/>
          <w:color w:val="000000"/>
          <w:sz w:val="24"/>
        </w:rPr>
        <w:tab/>
      </w:r>
      <w:r>
        <w:rPr>
          <w:rFonts w:hint="eastAsia" w:ascii="宋体" w:hAnsi="宋体"/>
          <w:color w:val="000000"/>
          <w:sz w:val="24"/>
        </w:rPr>
        <w:t>招标代理机构在任何时候发现投标人提交的投标文件内容有下列情形之一时，有权依法追究投标人的责任：</w:t>
      </w:r>
    </w:p>
    <w:p w14:paraId="74307F61">
      <w:pPr>
        <w:spacing w:before="120" w:line="360" w:lineRule="auto"/>
        <w:ind w:left="105" w:leftChars="50" w:firstLine="480" w:firstLineChars="200"/>
        <w:rPr>
          <w:rFonts w:ascii="宋体" w:hAnsi="宋体"/>
          <w:color w:val="000000"/>
          <w:sz w:val="24"/>
        </w:rPr>
      </w:pPr>
      <w:r>
        <w:rPr>
          <w:rFonts w:hint="eastAsia" w:ascii="宋体" w:hAnsi="宋体"/>
          <w:color w:val="000000"/>
          <w:sz w:val="24"/>
        </w:rPr>
        <w:t>2.4.1</w:t>
      </w:r>
      <w:r>
        <w:rPr>
          <w:rFonts w:hint="eastAsia" w:ascii="宋体" w:hAnsi="宋体"/>
          <w:color w:val="000000"/>
          <w:sz w:val="24"/>
        </w:rPr>
        <w:tab/>
      </w:r>
      <w:r>
        <w:rPr>
          <w:rFonts w:hint="eastAsia" w:ascii="宋体" w:hAnsi="宋体"/>
          <w:color w:val="000000"/>
          <w:sz w:val="24"/>
        </w:rPr>
        <w:t>提供虚假的资料；</w:t>
      </w:r>
    </w:p>
    <w:p w14:paraId="0393B091">
      <w:pPr>
        <w:spacing w:before="120" w:line="360" w:lineRule="auto"/>
        <w:ind w:left="105" w:leftChars="50" w:firstLine="480" w:firstLineChars="200"/>
        <w:rPr>
          <w:rFonts w:ascii="宋体" w:hAnsi="宋体"/>
          <w:color w:val="000000"/>
          <w:sz w:val="24"/>
        </w:rPr>
      </w:pPr>
      <w:r>
        <w:rPr>
          <w:rFonts w:hint="eastAsia" w:ascii="宋体" w:hAnsi="宋体"/>
          <w:color w:val="000000"/>
          <w:sz w:val="24"/>
        </w:rPr>
        <w:t>2.4.2</w:t>
      </w:r>
      <w:r>
        <w:rPr>
          <w:rFonts w:hint="eastAsia" w:ascii="宋体" w:hAnsi="宋体"/>
          <w:color w:val="000000"/>
          <w:sz w:val="24"/>
        </w:rPr>
        <w:tab/>
      </w:r>
      <w:r>
        <w:rPr>
          <w:rFonts w:hint="eastAsia" w:ascii="宋体" w:hAnsi="宋体"/>
          <w:color w:val="000000"/>
          <w:sz w:val="24"/>
        </w:rPr>
        <w:t>在实质性方面失实。</w:t>
      </w:r>
    </w:p>
    <w:p w14:paraId="53E955C2">
      <w:pPr>
        <w:spacing w:line="360" w:lineRule="auto"/>
        <w:ind w:firstLine="600" w:firstLineChars="250"/>
        <w:rPr>
          <w:rFonts w:ascii="宋体" w:hAnsi="宋体"/>
          <w:color w:val="000000"/>
          <w:sz w:val="24"/>
        </w:rPr>
      </w:pPr>
      <w:r>
        <w:rPr>
          <w:rFonts w:hint="eastAsia" w:ascii="宋体" w:hAnsi="宋体"/>
          <w:color w:val="000000"/>
          <w:sz w:val="24"/>
        </w:rPr>
        <w:t>2.5</w:t>
      </w:r>
      <w:r>
        <w:rPr>
          <w:rFonts w:hint="eastAsia" w:ascii="宋体" w:hAnsi="宋体"/>
          <w:color w:val="000000"/>
          <w:sz w:val="24"/>
        </w:rPr>
        <w:tab/>
      </w:r>
      <w:r>
        <w:rPr>
          <w:rFonts w:hint="eastAsia" w:ascii="宋体" w:hAnsi="宋体"/>
          <w:color w:val="000000"/>
          <w:sz w:val="24"/>
        </w:rPr>
        <w:t>采购当事人之间不得相互串通投标。</w:t>
      </w:r>
    </w:p>
    <w:p w14:paraId="398BDE53">
      <w:pPr>
        <w:pStyle w:val="4"/>
        <w:rPr>
          <w:rFonts w:ascii="宋体" w:hAnsi="宋体"/>
          <w:color w:val="000000"/>
          <w:sz w:val="24"/>
          <w:szCs w:val="24"/>
        </w:rPr>
      </w:pPr>
      <w:bookmarkStart w:id="10" w:name="_Toc73427781"/>
      <w:r>
        <w:rPr>
          <w:rFonts w:hint="eastAsia" w:ascii="宋体" w:hAnsi="宋体"/>
          <w:color w:val="000000"/>
          <w:sz w:val="24"/>
          <w:szCs w:val="24"/>
        </w:rPr>
        <w:t>3．投标费用</w:t>
      </w:r>
      <w:bookmarkEnd w:id="10"/>
    </w:p>
    <w:p w14:paraId="45DCF0BE">
      <w:pPr>
        <w:spacing w:line="360" w:lineRule="auto"/>
        <w:ind w:left="600" w:hanging="600" w:hangingChars="250"/>
        <w:rPr>
          <w:rFonts w:ascii="宋体" w:hAnsi="宋体"/>
          <w:color w:val="000000"/>
          <w:sz w:val="24"/>
          <w:szCs w:val="24"/>
        </w:rPr>
      </w:pPr>
      <w:r>
        <w:rPr>
          <w:rFonts w:hint="eastAsia" w:ascii="宋体" w:hAnsi="宋体"/>
          <w:color w:val="000000"/>
          <w:sz w:val="24"/>
          <w:szCs w:val="24"/>
        </w:rPr>
        <w:t>3.1  投标人应承担所有与准备和参加投标有关的费用。不论投标的结果如何，招标人和招标代理机构均无义务和责任承担这些费用。</w:t>
      </w:r>
    </w:p>
    <w:p w14:paraId="480C73A7">
      <w:pPr>
        <w:pStyle w:val="3"/>
        <w:rPr>
          <w:rFonts w:ascii="宋体" w:hAnsi="宋体" w:eastAsia="宋体"/>
          <w:color w:val="000000"/>
          <w:sz w:val="24"/>
          <w:szCs w:val="24"/>
        </w:rPr>
      </w:pPr>
      <w:bookmarkStart w:id="11" w:name="_Toc73427782"/>
      <w:r>
        <w:rPr>
          <w:rFonts w:hint="eastAsia" w:ascii="宋体" w:hAnsi="宋体" w:eastAsia="宋体"/>
          <w:color w:val="000000"/>
          <w:sz w:val="24"/>
          <w:szCs w:val="24"/>
        </w:rPr>
        <w:t>二 招标文件</w:t>
      </w:r>
      <w:bookmarkEnd w:id="11"/>
    </w:p>
    <w:p w14:paraId="20BDA436">
      <w:pPr>
        <w:pStyle w:val="4"/>
        <w:rPr>
          <w:rFonts w:ascii="宋体" w:hAnsi="宋体"/>
          <w:color w:val="000000"/>
          <w:sz w:val="24"/>
          <w:szCs w:val="24"/>
        </w:rPr>
      </w:pPr>
      <w:bookmarkStart w:id="12" w:name="_Toc73427783"/>
      <w:r>
        <w:rPr>
          <w:rFonts w:hint="eastAsia" w:ascii="宋体" w:hAnsi="宋体"/>
          <w:color w:val="000000"/>
          <w:sz w:val="24"/>
          <w:szCs w:val="24"/>
        </w:rPr>
        <w:t>4．招标文件构成</w:t>
      </w:r>
      <w:bookmarkEnd w:id="12"/>
    </w:p>
    <w:p w14:paraId="26517D97">
      <w:pPr>
        <w:spacing w:line="360" w:lineRule="auto"/>
        <w:ind w:left="567" w:leftChars="270"/>
        <w:rPr>
          <w:rFonts w:ascii="宋体" w:hAnsi="宋体"/>
          <w:color w:val="000000"/>
          <w:sz w:val="24"/>
          <w:szCs w:val="24"/>
        </w:rPr>
      </w:pPr>
      <w:r>
        <w:rPr>
          <w:rFonts w:hint="eastAsia" w:ascii="宋体" w:hAnsi="宋体"/>
          <w:color w:val="000000"/>
          <w:sz w:val="24"/>
          <w:szCs w:val="24"/>
        </w:rPr>
        <w:t>4.1  要求提供的货物、招标过程和合同条件在招标文件中均有说明。招标文件共七章，内容如下：</w:t>
      </w:r>
    </w:p>
    <w:p w14:paraId="1F4BD8C2">
      <w:pPr>
        <w:spacing w:line="360" w:lineRule="auto"/>
        <w:ind w:firstLine="1080"/>
        <w:rPr>
          <w:rFonts w:ascii="宋体" w:hAnsi="宋体"/>
          <w:color w:val="000000"/>
          <w:sz w:val="24"/>
          <w:szCs w:val="24"/>
        </w:rPr>
      </w:pPr>
      <w:r>
        <w:rPr>
          <w:rFonts w:hint="eastAsia" w:ascii="宋体" w:hAnsi="宋体"/>
          <w:color w:val="000000"/>
          <w:sz w:val="24"/>
          <w:szCs w:val="24"/>
        </w:rPr>
        <w:t>第一章 投标邀请</w:t>
      </w:r>
    </w:p>
    <w:p w14:paraId="3BC74838">
      <w:pPr>
        <w:spacing w:line="360" w:lineRule="auto"/>
        <w:ind w:firstLine="1080"/>
        <w:rPr>
          <w:rFonts w:ascii="宋体" w:hAnsi="宋体"/>
          <w:color w:val="000000"/>
          <w:sz w:val="24"/>
          <w:szCs w:val="24"/>
        </w:rPr>
      </w:pPr>
      <w:r>
        <w:rPr>
          <w:rFonts w:hint="eastAsia" w:ascii="宋体" w:hAnsi="宋体"/>
          <w:color w:val="000000"/>
          <w:sz w:val="24"/>
          <w:szCs w:val="24"/>
        </w:rPr>
        <w:t>第二章 投标资料表</w:t>
      </w:r>
    </w:p>
    <w:p w14:paraId="672A5998">
      <w:pPr>
        <w:spacing w:line="360" w:lineRule="auto"/>
        <w:ind w:firstLine="1080"/>
        <w:rPr>
          <w:rFonts w:ascii="宋体" w:hAnsi="宋体"/>
          <w:color w:val="000000"/>
          <w:sz w:val="24"/>
          <w:szCs w:val="24"/>
        </w:rPr>
      </w:pPr>
      <w:r>
        <w:rPr>
          <w:rFonts w:hint="eastAsia" w:ascii="宋体" w:hAnsi="宋体"/>
          <w:color w:val="000000"/>
          <w:sz w:val="24"/>
          <w:szCs w:val="24"/>
        </w:rPr>
        <w:t>第三章 投标人须知</w:t>
      </w:r>
    </w:p>
    <w:p w14:paraId="5EBC0079">
      <w:pPr>
        <w:spacing w:line="360" w:lineRule="auto"/>
        <w:ind w:firstLine="1080"/>
        <w:rPr>
          <w:rFonts w:ascii="宋体" w:hAnsi="宋体"/>
          <w:color w:val="000000"/>
          <w:sz w:val="24"/>
          <w:szCs w:val="24"/>
        </w:rPr>
      </w:pPr>
      <w:r>
        <w:rPr>
          <w:rFonts w:hint="eastAsia" w:ascii="宋体" w:hAnsi="宋体"/>
          <w:color w:val="000000"/>
          <w:sz w:val="24"/>
          <w:szCs w:val="24"/>
        </w:rPr>
        <w:t>第四章 合同条款</w:t>
      </w:r>
    </w:p>
    <w:p w14:paraId="6D6AFD24">
      <w:pPr>
        <w:spacing w:line="360" w:lineRule="auto"/>
        <w:ind w:firstLine="1080"/>
        <w:rPr>
          <w:rFonts w:ascii="宋体" w:hAnsi="宋体"/>
          <w:color w:val="000000"/>
          <w:sz w:val="24"/>
          <w:szCs w:val="24"/>
        </w:rPr>
      </w:pPr>
      <w:r>
        <w:rPr>
          <w:rFonts w:hint="eastAsia" w:ascii="宋体" w:hAnsi="宋体"/>
          <w:color w:val="000000"/>
          <w:sz w:val="24"/>
          <w:szCs w:val="24"/>
        </w:rPr>
        <w:t>第五章 货物需求及服务需求</w:t>
      </w:r>
    </w:p>
    <w:p w14:paraId="3C7E5074">
      <w:pPr>
        <w:spacing w:line="360" w:lineRule="auto"/>
        <w:ind w:firstLine="1080"/>
        <w:rPr>
          <w:rFonts w:ascii="宋体" w:hAnsi="宋体"/>
          <w:color w:val="000000"/>
          <w:sz w:val="24"/>
          <w:szCs w:val="24"/>
        </w:rPr>
      </w:pPr>
      <w:r>
        <w:rPr>
          <w:rFonts w:hint="eastAsia" w:ascii="宋体" w:hAnsi="宋体"/>
          <w:color w:val="000000"/>
          <w:sz w:val="24"/>
          <w:szCs w:val="24"/>
        </w:rPr>
        <w:t>第</w:t>
      </w:r>
      <w:r>
        <w:rPr>
          <w:rFonts w:ascii="宋体" w:hAnsi="宋体"/>
          <w:color w:val="000000"/>
          <w:sz w:val="24"/>
          <w:szCs w:val="24"/>
        </w:rPr>
        <w:t>六</w:t>
      </w:r>
      <w:r>
        <w:rPr>
          <w:rFonts w:hint="eastAsia" w:ascii="宋体" w:hAnsi="宋体"/>
          <w:color w:val="000000"/>
          <w:sz w:val="24"/>
          <w:szCs w:val="24"/>
        </w:rPr>
        <w:t>章 附件</w:t>
      </w:r>
    </w:p>
    <w:p w14:paraId="54E14E14">
      <w:pPr>
        <w:spacing w:line="360" w:lineRule="auto"/>
        <w:ind w:firstLine="1080"/>
        <w:rPr>
          <w:rFonts w:ascii="宋体" w:hAnsi="宋体"/>
          <w:color w:val="000000"/>
          <w:sz w:val="24"/>
          <w:szCs w:val="24"/>
        </w:rPr>
      </w:pPr>
      <w:r>
        <w:rPr>
          <w:rFonts w:hint="eastAsia" w:ascii="宋体" w:hAnsi="宋体"/>
          <w:color w:val="000000"/>
          <w:sz w:val="24"/>
          <w:szCs w:val="24"/>
        </w:rPr>
        <w:t>第七章 评标标准</w:t>
      </w:r>
    </w:p>
    <w:p w14:paraId="627D2A3C">
      <w:pPr>
        <w:spacing w:line="360" w:lineRule="auto"/>
        <w:ind w:left="987" w:hanging="420"/>
        <w:rPr>
          <w:rFonts w:ascii="宋体" w:hAnsi="宋体"/>
          <w:color w:val="000000"/>
          <w:sz w:val="24"/>
          <w:szCs w:val="24"/>
        </w:rPr>
      </w:pPr>
      <w:r>
        <w:rPr>
          <w:rFonts w:hint="eastAsia" w:ascii="宋体" w:hAnsi="宋体"/>
          <w:color w:val="000000"/>
          <w:sz w:val="24"/>
          <w:szCs w:val="24"/>
        </w:rPr>
        <w:t>4.2 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76CA18E2">
      <w:pPr>
        <w:pStyle w:val="4"/>
        <w:rPr>
          <w:rFonts w:ascii="宋体" w:hAnsi="宋体"/>
          <w:color w:val="000000"/>
          <w:sz w:val="24"/>
          <w:szCs w:val="24"/>
        </w:rPr>
      </w:pPr>
      <w:bookmarkStart w:id="13" w:name="_Toc73427784"/>
      <w:r>
        <w:rPr>
          <w:rFonts w:hint="eastAsia" w:ascii="宋体" w:hAnsi="宋体"/>
          <w:color w:val="000000"/>
          <w:sz w:val="24"/>
          <w:szCs w:val="24"/>
        </w:rPr>
        <w:t>5．</w:t>
      </w:r>
      <w:bookmarkEnd w:id="13"/>
      <w:r>
        <w:rPr>
          <w:rFonts w:hint="eastAsia" w:ascii="宋体" w:hAnsi="宋体"/>
          <w:bCs w:val="0"/>
          <w:color w:val="000000"/>
          <w:sz w:val="24"/>
          <w:szCs w:val="24"/>
        </w:rPr>
        <w:t>投标人要求对招标文件的异议</w:t>
      </w:r>
    </w:p>
    <w:p w14:paraId="4229952E">
      <w:pPr>
        <w:spacing w:line="360" w:lineRule="auto"/>
        <w:ind w:left="993" w:firstLine="480" w:firstLineChars="200"/>
        <w:rPr>
          <w:rFonts w:ascii="宋体" w:hAnsi="宋体"/>
          <w:color w:val="000000"/>
          <w:sz w:val="24"/>
          <w:szCs w:val="24"/>
        </w:rPr>
      </w:pPr>
      <w:r>
        <w:rPr>
          <w:rFonts w:hint="eastAsia" w:ascii="宋体" w:hAnsi="宋体"/>
          <w:color w:val="000000"/>
          <w:sz w:val="24"/>
          <w:szCs w:val="24"/>
        </w:rPr>
        <w:t>对招标文件有异议的投标人，</w:t>
      </w:r>
      <w:r>
        <w:rPr>
          <w:rFonts w:hint="eastAsia" w:ascii="宋体" w:hAnsi="宋体" w:cs="宋体"/>
          <w:color w:val="000000"/>
          <w:kern w:val="0"/>
          <w:sz w:val="24"/>
          <w:szCs w:val="24"/>
        </w:rPr>
        <w:t>应当在投标截止时间10日前</w:t>
      </w:r>
      <w:r>
        <w:rPr>
          <w:rFonts w:hint="eastAsia" w:ascii="宋体" w:hAnsi="宋体"/>
          <w:color w:val="000000"/>
          <w:sz w:val="24"/>
        </w:rPr>
        <w:t>以书面形式向招标代理机构</w:t>
      </w:r>
      <w:r>
        <w:rPr>
          <w:rFonts w:hint="eastAsia" w:ascii="宋体" w:hAnsi="宋体" w:cs="宋体"/>
          <w:color w:val="000000"/>
          <w:kern w:val="0"/>
          <w:sz w:val="24"/>
          <w:szCs w:val="24"/>
        </w:rPr>
        <w:t>提出。招标人应当自收到异议之日起3日内作出答复</w:t>
      </w:r>
      <w:r>
        <w:rPr>
          <w:rFonts w:hint="eastAsia" w:ascii="宋体" w:hAnsi="宋体"/>
          <w:color w:val="000000"/>
          <w:sz w:val="24"/>
        </w:rPr>
        <w:t>，必要时对招标文件进行澄清或修改。</w:t>
      </w:r>
    </w:p>
    <w:p w14:paraId="504CE1F2">
      <w:pPr>
        <w:pStyle w:val="4"/>
        <w:rPr>
          <w:rFonts w:ascii="宋体" w:hAnsi="宋体"/>
          <w:color w:val="000000"/>
          <w:sz w:val="24"/>
          <w:szCs w:val="24"/>
        </w:rPr>
      </w:pPr>
      <w:bookmarkStart w:id="14" w:name="_Toc73427785"/>
      <w:r>
        <w:rPr>
          <w:rFonts w:hint="eastAsia" w:ascii="宋体" w:hAnsi="宋体"/>
          <w:color w:val="000000"/>
          <w:sz w:val="24"/>
          <w:szCs w:val="24"/>
        </w:rPr>
        <w:t>6．招标文件的修改</w:t>
      </w:r>
      <w:bookmarkEnd w:id="14"/>
    </w:p>
    <w:p w14:paraId="3084F1C2">
      <w:pPr>
        <w:spacing w:line="360" w:lineRule="auto"/>
        <w:ind w:left="1110" w:leftChars="300" w:hanging="480" w:hangingChars="200"/>
        <w:rPr>
          <w:rFonts w:ascii="宋体" w:hAnsi="宋体"/>
          <w:color w:val="000000"/>
          <w:sz w:val="24"/>
          <w:szCs w:val="24"/>
        </w:rPr>
      </w:pPr>
      <w:r>
        <w:rPr>
          <w:rFonts w:hint="eastAsia" w:ascii="宋体" w:hAnsi="宋体"/>
          <w:color w:val="000000"/>
          <w:sz w:val="24"/>
          <w:szCs w:val="24"/>
        </w:rPr>
        <w:t>6.1 在投标截止期前的任何时候，无论出于何种原因，招标人可主动地或在解答投标人提出的异议或澄清问题时对招标文件进行修改。</w:t>
      </w:r>
    </w:p>
    <w:p w14:paraId="773B6814">
      <w:pPr>
        <w:spacing w:line="360" w:lineRule="auto"/>
        <w:ind w:left="987" w:hanging="420"/>
        <w:rPr>
          <w:rFonts w:ascii="宋体" w:hAnsi="宋体"/>
          <w:color w:val="000000"/>
          <w:sz w:val="24"/>
          <w:szCs w:val="24"/>
        </w:rPr>
      </w:pPr>
      <w:r>
        <w:rPr>
          <w:rFonts w:hint="eastAsia" w:ascii="宋体" w:hAnsi="宋体"/>
          <w:color w:val="000000"/>
          <w:sz w:val="24"/>
          <w:szCs w:val="24"/>
        </w:rPr>
        <w:t>6.2招标代理机构对已发出的招标文件进行必要澄清或者修改的，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p>
    <w:p w14:paraId="3D14C7D8">
      <w:pPr>
        <w:spacing w:line="360" w:lineRule="auto"/>
        <w:ind w:left="987" w:hanging="420"/>
        <w:rPr>
          <w:rFonts w:ascii="宋体" w:hAnsi="宋体"/>
          <w:color w:val="000000"/>
          <w:sz w:val="24"/>
          <w:szCs w:val="24"/>
        </w:rPr>
      </w:pPr>
      <w:r>
        <w:rPr>
          <w:rFonts w:hint="eastAsia" w:ascii="宋体" w:hAnsi="宋体"/>
          <w:color w:val="000000"/>
          <w:sz w:val="24"/>
          <w:szCs w:val="24"/>
        </w:rPr>
        <w:t>6.3</w:t>
      </w:r>
      <w:r>
        <w:rPr>
          <w:rFonts w:hint="eastAsia" w:ascii="宋体" w:hAnsi="宋体"/>
          <w:color w:val="000000"/>
          <w:sz w:val="24"/>
        </w:rPr>
        <w:t>招标文件的澄清或修改为招标文件的组成部分，对所有投标人均具有约束力。投标人在收到澄清或修改的书面通知后，应在一个工作日内向招标代理机构回函确认，否则招标代理机构将视为其已完全知道并接受此澄清或修改的内容。</w:t>
      </w:r>
    </w:p>
    <w:p w14:paraId="6143779E">
      <w:pPr>
        <w:pStyle w:val="3"/>
        <w:rPr>
          <w:rFonts w:ascii="宋体" w:hAnsi="宋体" w:eastAsia="宋体"/>
          <w:color w:val="000000"/>
          <w:sz w:val="24"/>
          <w:szCs w:val="24"/>
        </w:rPr>
      </w:pPr>
      <w:bookmarkStart w:id="15" w:name="_Toc73427786"/>
      <w:r>
        <w:rPr>
          <w:rFonts w:hint="eastAsia" w:ascii="宋体" w:hAnsi="宋体" w:eastAsia="宋体"/>
          <w:color w:val="000000"/>
          <w:sz w:val="24"/>
          <w:szCs w:val="24"/>
        </w:rPr>
        <w:t>三 投标文件的编制</w:t>
      </w:r>
      <w:bookmarkEnd w:id="15"/>
    </w:p>
    <w:p w14:paraId="7450D38B">
      <w:pPr>
        <w:pStyle w:val="4"/>
        <w:rPr>
          <w:rFonts w:ascii="宋体" w:hAnsi="宋体"/>
          <w:color w:val="000000"/>
          <w:sz w:val="24"/>
          <w:szCs w:val="24"/>
        </w:rPr>
      </w:pPr>
      <w:bookmarkStart w:id="16" w:name="_Toc73427787"/>
      <w:r>
        <w:rPr>
          <w:rFonts w:hint="eastAsia" w:ascii="宋体" w:hAnsi="宋体"/>
          <w:color w:val="000000"/>
          <w:sz w:val="24"/>
          <w:szCs w:val="24"/>
        </w:rPr>
        <w:t>7．投标的语言</w:t>
      </w:r>
      <w:bookmarkEnd w:id="16"/>
    </w:p>
    <w:p w14:paraId="5BD071F5">
      <w:pPr>
        <w:spacing w:line="360" w:lineRule="auto"/>
        <w:ind w:firstLine="480" w:firstLineChars="200"/>
        <w:rPr>
          <w:rFonts w:ascii="宋体" w:hAnsi="宋体"/>
          <w:color w:val="000000"/>
          <w:sz w:val="24"/>
          <w:szCs w:val="24"/>
        </w:rPr>
      </w:pPr>
      <w:r>
        <w:rPr>
          <w:rFonts w:hint="eastAsia" w:ascii="宋体" w:hAnsi="宋体"/>
          <w:color w:val="000000"/>
          <w:sz w:val="24"/>
          <w:szCs w:val="24"/>
        </w:rPr>
        <w:t>投标人提交的投标文件以及投标人与招标人和招标代理机构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66B0A496">
      <w:pPr>
        <w:pStyle w:val="4"/>
        <w:rPr>
          <w:rFonts w:ascii="宋体" w:hAnsi="宋体"/>
          <w:color w:val="000000"/>
          <w:sz w:val="24"/>
          <w:szCs w:val="24"/>
        </w:rPr>
      </w:pPr>
      <w:bookmarkStart w:id="17" w:name="_Toc73427788"/>
      <w:r>
        <w:rPr>
          <w:rFonts w:hint="eastAsia" w:ascii="宋体" w:hAnsi="宋体"/>
          <w:color w:val="000000"/>
          <w:sz w:val="24"/>
          <w:szCs w:val="24"/>
        </w:rPr>
        <w:t>8．投标文件构成</w:t>
      </w:r>
      <w:bookmarkEnd w:id="17"/>
    </w:p>
    <w:p w14:paraId="21A6ED81">
      <w:pPr>
        <w:spacing w:line="360" w:lineRule="auto"/>
        <w:ind w:firstLine="480" w:firstLineChars="200"/>
        <w:rPr>
          <w:rFonts w:ascii="宋体" w:hAnsi="宋体"/>
          <w:color w:val="000000"/>
          <w:sz w:val="24"/>
          <w:szCs w:val="24"/>
        </w:rPr>
      </w:pPr>
      <w:r>
        <w:rPr>
          <w:rFonts w:hint="eastAsia" w:ascii="宋体" w:hAnsi="宋体"/>
          <w:color w:val="000000"/>
          <w:sz w:val="24"/>
          <w:szCs w:val="24"/>
        </w:rPr>
        <w:t>投标人编写的投标文件应包括下列部分：</w:t>
      </w:r>
    </w:p>
    <w:p w14:paraId="1BF22DA1">
      <w:pPr>
        <w:tabs>
          <w:tab w:val="left" w:pos="900"/>
          <w:tab w:val="left" w:pos="5580"/>
        </w:tabs>
        <w:spacing w:line="360" w:lineRule="auto"/>
        <w:ind w:firstLine="480" w:firstLineChars="200"/>
        <w:rPr>
          <w:rFonts w:ascii="宋体" w:hAnsi="宋体"/>
          <w:color w:val="000000"/>
          <w:sz w:val="24"/>
        </w:rPr>
      </w:pPr>
      <w:r>
        <w:rPr>
          <w:rFonts w:hint="eastAsia" w:ascii="宋体" w:hAnsi="宋体"/>
          <w:color w:val="000000"/>
          <w:sz w:val="24"/>
        </w:rPr>
        <w:t>附件1——投标书（格式）</w:t>
      </w:r>
    </w:p>
    <w:p w14:paraId="34CD4312">
      <w:pPr>
        <w:tabs>
          <w:tab w:val="left" w:pos="900"/>
          <w:tab w:val="left" w:pos="5580"/>
        </w:tabs>
        <w:spacing w:line="360" w:lineRule="auto"/>
        <w:ind w:firstLine="480" w:firstLineChars="200"/>
        <w:rPr>
          <w:rFonts w:ascii="宋体" w:hAnsi="宋体"/>
          <w:color w:val="000000"/>
          <w:sz w:val="24"/>
        </w:rPr>
      </w:pPr>
      <w:r>
        <w:rPr>
          <w:rFonts w:hint="eastAsia" w:ascii="宋体" w:hAnsi="宋体"/>
          <w:color w:val="000000"/>
          <w:sz w:val="24"/>
        </w:rPr>
        <w:t>附件2——投标一览表（格式）</w:t>
      </w:r>
    </w:p>
    <w:p w14:paraId="4192CB40">
      <w:pPr>
        <w:tabs>
          <w:tab w:val="left" w:pos="900"/>
          <w:tab w:val="left" w:pos="5580"/>
        </w:tabs>
        <w:spacing w:line="360" w:lineRule="auto"/>
        <w:ind w:firstLine="480" w:firstLineChars="200"/>
        <w:rPr>
          <w:rFonts w:ascii="宋体" w:hAnsi="宋体"/>
          <w:color w:val="000000"/>
          <w:sz w:val="24"/>
        </w:rPr>
      </w:pPr>
      <w:r>
        <w:rPr>
          <w:rFonts w:hint="eastAsia" w:ascii="宋体" w:hAnsi="宋体"/>
          <w:color w:val="000000"/>
          <w:sz w:val="24"/>
        </w:rPr>
        <w:t>附件3——投标分项报价表（格式）</w:t>
      </w:r>
    </w:p>
    <w:p w14:paraId="378C3B8E">
      <w:pPr>
        <w:tabs>
          <w:tab w:val="left" w:pos="900"/>
          <w:tab w:val="left" w:pos="5580"/>
        </w:tabs>
        <w:spacing w:line="360" w:lineRule="auto"/>
        <w:ind w:firstLine="480" w:firstLineChars="200"/>
        <w:rPr>
          <w:rFonts w:ascii="宋体" w:hAnsi="宋体"/>
          <w:color w:val="000000"/>
          <w:sz w:val="24"/>
        </w:rPr>
      </w:pPr>
      <w:r>
        <w:rPr>
          <w:rFonts w:hint="eastAsia" w:ascii="宋体" w:hAnsi="宋体"/>
          <w:color w:val="000000"/>
          <w:sz w:val="24"/>
        </w:rPr>
        <w:t>附件</w:t>
      </w:r>
      <w:r>
        <w:rPr>
          <w:rFonts w:ascii="宋体" w:hAnsi="宋体"/>
          <w:color w:val="000000"/>
          <w:sz w:val="24"/>
        </w:rPr>
        <w:t>4</w:t>
      </w:r>
      <w:r>
        <w:rPr>
          <w:rFonts w:hint="eastAsia" w:ascii="宋体" w:hAnsi="宋体"/>
          <w:color w:val="000000"/>
          <w:sz w:val="24"/>
        </w:rPr>
        <w:t>——技术规格偏离表（格式）</w:t>
      </w:r>
    </w:p>
    <w:p w14:paraId="19D5803E">
      <w:pPr>
        <w:tabs>
          <w:tab w:val="left" w:pos="900"/>
          <w:tab w:val="left" w:pos="5580"/>
        </w:tabs>
        <w:spacing w:line="360" w:lineRule="auto"/>
        <w:ind w:firstLine="480" w:firstLineChars="200"/>
        <w:rPr>
          <w:rFonts w:ascii="宋体" w:hAnsi="宋体"/>
          <w:color w:val="000000"/>
          <w:sz w:val="24"/>
        </w:rPr>
      </w:pPr>
      <w:r>
        <w:rPr>
          <w:rFonts w:hint="eastAsia" w:ascii="宋体" w:hAnsi="宋体"/>
          <w:color w:val="000000"/>
          <w:sz w:val="24"/>
        </w:rPr>
        <w:t>附件</w:t>
      </w:r>
      <w:r>
        <w:rPr>
          <w:rFonts w:ascii="宋体" w:hAnsi="宋体"/>
          <w:color w:val="000000"/>
          <w:sz w:val="24"/>
        </w:rPr>
        <w:t>5</w:t>
      </w:r>
      <w:r>
        <w:rPr>
          <w:rFonts w:hint="eastAsia" w:ascii="宋体" w:hAnsi="宋体"/>
          <w:color w:val="000000"/>
          <w:sz w:val="24"/>
        </w:rPr>
        <w:t>——商务条款偏离表（格式）</w:t>
      </w:r>
    </w:p>
    <w:p w14:paraId="2EA59335">
      <w:pPr>
        <w:spacing w:line="360" w:lineRule="auto"/>
        <w:ind w:firstLine="480" w:firstLineChars="200"/>
        <w:rPr>
          <w:rFonts w:ascii="宋体" w:hAnsi="宋体"/>
          <w:color w:val="000000"/>
          <w:sz w:val="24"/>
        </w:rPr>
      </w:pPr>
      <w:r>
        <w:rPr>
          <w:rFonts w:hint="eastAsia" w:ascii="宋体" w:hAnsi="宋体"/>
          <w:color w:val="000000"/>
          <w:sz w:val="24"/>
        </w:rPr>
        <w:t>附件</w:t>
      </w:r>
      <w:r>
        <w:rPr>
          <w:rFonts w:ascii="宋体" w:hAnsi="宋体"/>
          <w:color w:val="000000"/>
          <w:sz w:val="24"/>
        </w:rPr>
        <w:t>6</w:t>
      </w:r>
      <w:r>
        <w:rPr>
          <w:rFonts w:hint="eastAsia" w:ascii="宋体" w:hAnsi="宋体"/>
          <w:color w:val="000000"/>
          <w:sz w:val="24"/>
        </w:rPr>
        <w:t>——资格证明文件</w:t>
      </w:r>
    </w:p>
    <w:p w14:paraId="210D1313">
      <w:pPr>
        <w:tabs>
          <w:tab w:val="left" w:pos="5580"/>
        </w:tabs>
        <w:spacing w:line="360" w:lineRule="auto"/>
        <w:rPr>
          <w:rFonts w:ascii="宋体" w:hAnsi="宋体"/>
          <w:color w:val="000000"/>
          <w:sz w:val="24"/>
        </w:rPr>
      </w:pPr>
      <w:r>
        <w:rPr>
          <w:rFonts w:ascii="宋体" w:hAnsi="宋体"/>
          <w:color w:val="000000"/>
          <w:sz w:val="24"/>
        </w:rPr>
        <w:t>6</w:t>
      </w:r>
      <w:r>
        <w:rPr>
          <w:rFonts w:hint="eastAsia" w:ascii="宋体" w:hAnsi="宋体"/>
          <w:color w:val="000000"/>
          <w:sz w:val="24"/>
        </w:rPr>
        <w:t>-1 法人或其他组织的营业执照等证明文件</w:t>
      </w:r>
    </w:p>
    <w:p w14:paraId="0DA189EF">
      <w:pPr>
        <w:tabs>
          <w:tab w:val="left" w:pos="5580"/>
        </w:tabs>
        <w:spacing w:line="360" w:lineRule="auto"/>
        <w:rPr>
          <w:rFonts w:ascii="宋体" w:hAnsi="宋体"/>
          <w:color w:val="000000"/>
          <w:sz w:val="24"/>
        </w:rPr>
      </w:pPr>
      <w:r>
        <w:rPr>
          <w:rFonts w:ascii="宋体" w:hAnsi="宋体"/>
          <w:color w:val="000000"/>
          <w:sz w:val="24"/>
        </w:rPr>
        <w:t>6</w:t>
      </w:r>
      <w:r>
        <w:rPr>
          <w:rFonts w:hint="eastAsia" w:ascii="宋体" w:hAnsi="宋体"/>
          <w:color w:val="000000"/>
          <w:sz w:val="24"/>
        </w:rPr>
        <w:t>-</w:t>
      </w:r>
      <w:r>
        <w:rPr>
          <w:rFonts w:ascii="宋体" w:hAnsi="宋体"/>
          <w:color w:val="000000"/>
          <w:sz w:val="24"/>
        </w:rPr>
        <w:t>2</w:t>
      </w:r>
      <w:r>
        <w:rPr>
          <w:rFonts w:hint="eastAsia" w:ascii="宋体" w:hAnsi="宋体"/>
          <w:color w:val="000000"/>
          <w:sz w:val="24"/>
        </w:rPr>
        <w:t xml:space="preserve"> 纳税证明</w:t>
      </w:r>
    </w:p>
    <w:p w14:paraId="09355AFD">
      <w:pPr>
        <w:tabs>
          <w:tab w:val="left" w:pos="5580"/>
        </w:tabs>
        <w:spacing w:line="360" w:lineRule="auto"/>
        <w:rPr>
          <w:rFonts w:ascii="宋体" w:hAnsi="宋体"/>
          <w:color w:val="000000"/>
          <w:sz w:val="24"/>
        </w:rPr>
      </w:pPr>
      <w:r>
        <w:rPr>
          <w:rFonts w:hint="eastAsia" w:hAnsi="宋体"/>
          <w:bCs/>
          <w:color w:val="000000"/>
          <w:sz w:val="24"/>
        </w:rPr>
        <w:t>注：[提供开标日前</w:t>
      </w:r>
      <w:r>
        <w:rPr>
          <w:rFonts w:hAnsi="宋体"/>
          <w:bCs/>
          <w:color w:val="000000"/>
          <w:sz w:val="24"/>
        </w:rPr>
        <w:t>六</w:t>
      </w:r>
      <w:r>
        <w:rPr>
          <w:rFonts w:hint="eastAsia" w:hAnsi="宋体"/>
          <w:bCs/>
          <w:color w:val="000000"/>
          <w:sz w:val="24"/>
        </w:rPr>
        <w:t>个月内任意一个月的纳税证明（银行缴费凭证或税务机关开具的证明）复印件</w:t>
      </w:r>
      <w:r>
        <w:rPr>
          <w:rFonts w:hint="eastAsia" w:hAnsi="宋体"/>
          <w:color w:val="000000"/>
          <w:sz w:val="24"/>
        </w:rPr>
        <w:t>并</w:t>
      </w:r>
      <w:r>
        <w:rPr>
          <w:rFonts w:hint="eastAsia" w:hAnsi="宋体"/>
          <w:bCs/>
          <w:color w:val="000000"/>
          <w:sz w:val="24"/>
        </w:rPr>
        <w:t>加盖本单位公章。依法免税的投标人，应提供相应文件证明其依法免税]</w:t>
      </w:r>
    </w:p>
    <w:p w14:paraId="5EF0421F">
      <w:pPr>
        <w:tabs>
          <w:tab w:val="left" w:pos="5580"/>
        </w:tabs>
        <w:spacing w:line="360" w:lineRule="auto"/>
        <w:rPr>
          <w:rFonts w:ascii="宋体" w:hAnsi="宋体"/>
          <w:color w:val="000000"/>
          <w:sz w:val="24"/>
        </w:rPr>
      </w:pPr>
      <w:r>
        <w:rPr>
          <w:rFonts w:ascii="宋体" w:hAnsi="宋体"/>
          <w:color w:val="000000"/>
          <w:sz w:val="24"/>
        </w:rPr>
        <w:t>6</w:t>
      </w:r>
      <w:r>
        <w:rPr>
          <w:rFonts w:hint="eastAsia" w:ascii="宋体" w:hAnsi="宋体"/>
          <w:color w:val="000000"/>
          <w:sz w:val="24"/>
        </w:rPr>
        <w:t>-</w:t>
      </w:r>
      <w:r>
        <w:rPr>
          <w:rFonts w:ascii="宋体" w:hAnsi="宋体"/>
          <w:color w:val="000000"/>
          <w:sz w:val="24"/>
        </w:rPr>
        <w:t>3</w:t>
      </w:r>
      <w:r>
        <w:rPr>
          <w:rFonts w:hint="eastAsia" w:ascii="宋体" w:hAnsi="宋体"/>
          <w:color w:val="000000"/>
          <w:sz w:val="24"/>
        </w:rPr>
        <w:t xml:space="preserve"> 法定代表人授权书（格式）</w:t>
      </w:r>
    </w:p>
    <w:p w14:paraId="42259187">
      <w:pPr>
        <w:tabs>
          <w:tab w:val="left" w:pos="5580"/>
        </w:tabs>
        <w:spacing w:line="360" w:lineRule="auto"/>
        <w:rPr>
          <w:rFonts w:ascii="宋体" w:hAnsi="宋体"/>
          <w:color w:val="000000"/>
          <w:sz w:val="24"/>
        </w:rPr>
      </w:pPr>
      <w:r>
        <w:rPr>
          <w:rFonts w:ascii="宋体" w:hAnsi="宋体"/>
          <w:color w:val="000000"/>
          <w:sz w:val="24"/>
        </w:rPr>
        <w:t>6</w:t>
      </w:r>
      <w:r>
        <w:rPr>
          <w:rFonts w:hint="eastAsia" w:ascii="宋体" w:hAnsi="宋体"/>
          <w:color w:val="000000"/>
          <w:sz w:val="24"/>
        </w:rPr>
        <w:t>-</w:t>
      </w:r>
      <w:r>
        <w:rPr>
          <w:rFonts w:ascii="宋体" w:hAnsi="宋体"/>
          <w:color w:val="000000"/>
          <w:sz w:val="24"/>
        </w:rPr>
        <w:t>4</w:t>
      </w:r>
      <w:r>
        <w:rPr>
          <w:rFonts w:hint="eastAsia" w:ascii="宋体" w:hAnsi="宋体"/>
          <w:color w:val="000000"/>
          <w:sz w:val="24"/>
        </w:rPr>
        <w:t xml:space="preserve"> 投标人的资格声明（格式）</w:t>
      </w:r>
    </w:p>
    <w:p w14:paraId="364CC1F5">
      <w:pPr>
        <w:tabs>
          <w:tab w:val="left" w:pos="5580"/>
        </w:tabs>
        <w:spacing w:line="360" w:lineRule="auto"/>
        <w:rPr>
          <w:rFonts w:ascii="宋体" w:hAnsi="宋体"/>
          <w:color w:val="000000"/>
          <w:sz w:val="24"/>
        </w:rPr>
      </w:pPr>
      <w:r>
        <w:rPr>
          <w:rFonts w:ascii="宋体" w:hAnsi="宋体"/>
          <w:color w:val="000000"/>
          <w:sz w:val="24"/>
        </w:rPr>
        <w:t>6</w:t>
      </w:r>
      <w:r>
        <w:rPr>
          <w:rFonts w:hint="eastAsia" w:ascii="宋体" w:hAnsi="宋体"/>
          <w:color w:val="000000"/>
          <w:sz w:val="24"/>
        </w:rPr>
        <w:t>-</w:t>
      </w:r>
      <w:r>
        <w:rPr>
          <w:rFonts w:ascii="宋体" w:hAnsi="宋体"/>
          <w:color w:val="000000"/>
          <w:sz w:val="24"/>
        </w:rPr>
        <w:t>5 投标人的</w:t>
      </w:r>
      <w:r>
        <w:rPr>
          <w:rFonts w:hint="eastAsia" w:ascii="宋体" w:hAnsi="宋体"/>
          <w:color w:val="000000"/>
          <w:sz w:val="24"/>
        </w:rPr>
        <w:t>财务状况报告：会计师事务所出具的2023年年度财务审计报告或银行出具的资信证明</w:t>
      </w:r>
    </w:p>
    <w:p w14:paraId="39B9ACA5">
      <w:pPr>
        <w:tabs>
          <w:tab w:val="left" w:pos="5580"/>
        </w:tabs>
        <w:spacing w:line="360" w:lineRule="auto"/>
        <w:rPr>
          <w:rFonts w:ascii="宋体" w:hAnsi="宋体"/>
          <w:color w:val="000000"/>
          <w:sz w:val="24"/>
        </w:rPr>
      </w:pPr>
      <w:r>
        <w:rPr>
          <w:rFonts w:ascii="宋体" w:hAnsi="宋体"/>
          <w:color w:val="000000"/>
          <w:sz w:val="24"/>
        </w:rPr>
        <w:t>6</w:t>
      </w:r>
      <w:r>
        <w:rPr>
          <w:rFonts w:hint="eastAsia" w:ascii="宋体" w:hAnsi="宋体"/>
          <w:color w:val="000000"/>
          <w:sz w:val="24"/>
        </w:rPr>
        <w:t>-</w:t>
      </w:r>
      <w:r>
        <w:rPr>
          <w:rFonts w:ascii="宋体" w:hAnsi="宋体"/>
          <w:color w:val="000000"/>
          <w:sz w:val="24"/>
        </w:rPr>
        <w:t>6</w:t>
      </w:r>
      <w:r>
        <w:rPr>
          <w:rFonts w:hint="eastAsia" w:ascii="宋体" w:hAnsi="宋体"/>
          <w:color w:val="000000"/>
          <w:sz w:val="24"/>
        </w:rPr>
        <w:t xml:space="preserve"> 社会保障资金缴纳记录</w:t>
      </w:r>
    </w:p>
    <w:p w14:paraId="23210B36">
      <w:pPr>
        <w:tabs>
          <w:tab w:val="left" w:pos="5580"/>
        </w:tabs>
        <w:spacing w:line="360" w:lineRule="auto"/>
        <w:rPr>
          <w:rFonts w:ascii="宋体" w:hAnsi="宋体"/>
          <w:color w:val="000000"/>
          <w:sz w:val="24"/>
        </w:rPr>
      </w:pPr>
      <w:r>
        <w:rPr>
          <w:rFonts w:hint="eastAsia" w:ascii="宋体" w:hAnsi="宋体"/>
          <w:color w:val="000000"/>
          <w:sz w:val="24"/>
        </w:rPr>
        <w:t>注：</w:t>
      </w:r>
      <w:r>
        <w:rPr>
          <w:rFonts w:hint="eastAsia" w:hAnsi="宋体"/>
          <w:bCs/>
          <w:color w:val="000000"/>
          <w:sz w:val="24"/>
        </w:rPr>
        <w:t>[提供开标日前</w:t>
      </w:r>
      <w:r>
        <w:rPr>
          <w:rFonts w:hAnsi="宋体"/>
          <w:bCs/>
          <w:color w:val="000000"/>
          <w:sz w:val="24"/>
        </w:rPr>
        <w:t>六</w:t>
      </w:r>
      <w:r>
        <w:rPr>
          <w:rFonts w:hint="eastAsia" w:hAnsi="宋体"/>
          <w:bCs/>
          <w:color w:val="000000"/>
          <w:sz w:val="24"/>
        </w:rPr>
        <w:t>个月内任意一个月的</w:t>
      </w:r>
      <w:r>
        <w:rPr>
          <w:rFonts w:hint="eastAsia" w:ascii="宋体" w:hAnsi="宋体"/>
          <w:color w:val="000000"/>
          <w:sz w:val="24"/>
        </w:rPr>
        <w:t>社会保障金缴纳记录（银行缴费单据或社保机构出具的证明）复印件并加盖公章。不需要缴纳社会保障资金的投标人，应提供相应文件证明其不需要缴纳社会保障资金</w:t>
      </w:r>
      <w:r>
        <w:rPr>
          <w:rFonts w:hint="eastAsia" w:hAnsi="宋体"/>
          <w:bCs/>
          <w:color w:val="000000"/>
          <w:sz w:val="24"/>
        </w:rPr>
        <w:t>]</w:t>
      </w:r>
    </w:p>
    <w:p w14:paraId="45B7E538">
      <w:pPr>
        <w:tabs>
          <w:tab w:val="left" w:pos="5580"/>
        </w:tabs>
        <w:spacing w:line="360" w:lineRule="auto"/>
        <w:rPr>
          <w:rFonts w:ascii="宋体" w:hAnsi="宋体"/>
          <w:color w:val="000000"/>
          <w:sz w:val="24"/>
        </w:rPr>
      </w:pPr>
      <w:r>
        <w:rPr>
          <w:rFonts w:ascii="宋体" w:hAnsi="宋体"/>
          <w:color w:val="000000"/>
          <w:sz w:val="24"/>
        </w:rPr>
        <w:t>6</w:t>
      </w:r>
      <w:r>
        <w:rPr>
          <w:rFonts w:hint="eastAsia" w:ascii="宋体" w:hAnsi="宋体"/>
          <w:color w:val="000000"/>
          <w:sz w:val="24"/>
        </w:rPr>
        <w:t>-</w:t>
      </w:r>
      <w:r>
        <w:rPr>
          <w:rFonts w:ascii="宋体" w:hAnsi="宋体"/>
          <w:color w:val="000000"/>
          <w:sz w:val="24"/>
        </w:rPr>
        <w:t>7</w:t>
      </w:r>
      <w:r>
        <w:rPr>
          <w:rFonts w:hint="eastAsia" w:ascii="宋体" w:hAnsi="宋体"/>
          <w:color w:val="000000"/>
          <w:sz w:val="24"/>
        </w:rPr>
        <w:t>具有履行合同所必需的设备和专业技术能力的证明材料</w:t>
      </w:r>
    </w:p>
    <w:p w14:paraId="3AE15D93">
      <w:pPr>
        <w:tabs>
          <w:tab w:val="left" w:pos="5580"/>
        </w:tabs>
        <w:spacing w:line="360" w:lineRule="auto"/>
        <w:rPr>
          <w:rFonts w:ascii="宋体" w:hAnsi="宋体"/>
          <w:color w:val="000000"/>
          <w:sz w:val="24"/>
        </w:rPr>
      </w:pPr>
      <w:r>
        <w:rPr>
          <w:rFonts w:ascii="宋体" w:hAnsi="宋体"/>
          <w:bCs/>
          <w:color w:val="000000"/>
          <w:sz w:val="24"/>
        </w:rPr>
        <w:t>6</w:t>
      </w:r>
      <w:r>
        <w:rPr>
          <w:rFonts w:hint="eastAsia" w:ascii="宋体" w:hAnsi="宋体"/>
          <w:bCs/>
          <w:color w:val="000000"/>
          <w:sz w:val="24"/>
        </w:rPr>
        <w:t>-</w:t>
      </w:r>
      <w:r>
        <w:rPr>
          <w:rFonts w:ascii="宋体" w:hAnsi="宋体"/>
          <w:bCs/>
          <w:color w:val="000000"/>
          <w:sz w:val="24"/>
        </w:rPr>
        <w:t>8</w:t>
      </w:r>
      <w:r>
        <w:rPr>
          <w:rFonts w:hint="eastAsia" w:ascii="宋体" w:hAnsi="宋体"/>
          <w:color w:val="000000"/>
          <w:sz w:val="24"/>
        </w:rPr>
        <w:t>投标人参加此采购活动近三年内，在经营活动中没有重大事故、违法记录的声明（格式）；在“信用中国”网站（www.creditchina.gov.cn）和中国政府采购网（www.ccgp.gov.cn）的信用信息查询记录截图（须加盖本单位公章。此信用信息查询记录截图的截止时间不能早于本项目投标截止时间前三个日历日）。招标代理机构将于投标截止时间后，将通过“信用中国”网站（</w:t>
      </w:r>
      <w:r>
        <w:fldChar w:fldCharType="begin"/>
      </w:r>
      <w:r>
        <w:instrText xml:space="preserve"> HYPERLINK "http://www.creditchina.gov.cn" </w:instrText>
      </w:r>
      <w:r>
        <w:fldChar w:fldCharType="separate"/>
      </w:r>
      <w:r>
        <w:rPr>
          <w:rStyle w:val="49"/>
          <w:rFonts w:hint="eastAsia" w:ascii="宋体" w:hAnsi="宋体"/>
          <w:color w:val="000000"/>
          <w:sz w:val="24"/>
        </w:rPr>
        <w:t>www.creditchina.gov.cn</w:t>
      </w:r>
      <w:r>
        <w:rPr>
          <w:rStyle w:val="49"/>
          <w:rFonts w:hint="eastAsia" w:ascii="宋体" w:hAnsi="宋体"/>
          <w:color w:val="000000"/>
          <w:sz w:val="24"/>
        </w:rPr>
        <w:fldChar w:fldCharType="end"/>
      </w:r>
      <w:r>
        <w:rPr>
          <w:rFonts w:hint="eastAsia" w:ascii="宋体" w:hAnsi="宋体"/>
          <w:color w:val="000000"/>
          <w:sz w:val="24"/>
        </w:rPr>
        <w:t>）和“中国政府采购网”（www.ccgp.gov.cn）等网站对投标人的信用信息进行核查。投标人的信用信息以招标代理机构核查的结果为准并将与其他评审资料一并留存。对列入失信被执行人、重大税收违法案件当事人名单、严重违法失信行为记录名单的供应商，将被拒绝其参与本次采购活动。</w:t>
      </w:r>
    </w:p>
    <w:p w14:paraId="72CFAE23">
      <w:pPr>
        <w:tabs>
          <w:tab w:val="left" w:pos="5580"/>
        </w:tabs>
        <w:spacing w:line="360" w:lineRule="auto"/>
        <w:rPr>
          <w:rFonts w:ascii="宋体" w:hAnsi="宋体"/>
          <w:color w:val="000000"/>
          <w:sz w:val="24"/>
        </w:rPr>
      </w:pPr>
      <w:r>
        <w:rPr>
          <w:rFonts w:ascii="宋体" w:hAnsi="宋体"/>
          <w:color w:val="000000"/>
          <w:sz w:val="24"/>
        </w:rPr>
        <w:t>6</w:t>
      </w:r>
      <w:r>
        <w:rPr>
          <w:rFonts w:hint="eastAsia" w:ascii="宋体" w:hAnsi="宋体"/>
          <w:color w:val="000000"/>
          <w:sz w:val="24"/>
        </w:rPr>
        <w:t>-</w:t>
      </w:r>
      <w:r>
        <w:rPr>
          <w:rFonts w:ascii="宋体" w:hAnsi="宋体"/>
          <w:color w:val="000000"/>
          <w:sz w:val="24"/>
        </w:rPr>
        <w:t>9</w:t>
      </w:r>
      <w:r>
        <w:rPr>
          <w:rFonts w:hint="eastAsia" w:ascii="宋体" w:hAnsi="宋体"/>
          <w:color w:val="000000"/>
          <w:sz w:val="24"/>
        </w:rPr>
        <w:t>招标文件要求的其他证明文件（须加盖本单位公章）</w:t>
      </w:r>
    </w:p>
    <w:p w14:paraId="24585779">
      <w:pPr>
        <w:tabs>
          <w:tab w:val="left" w:pos="5580"/>
        </w:tabs>
        <w:spacing w:line="360" w:lineRule="auto"/>
        <w:rPr>
          <w:rFonts w:ascii="宋体" w:hAnsi="宋体"/>
          <w:color w:val="000000"/>
          <w:spacing w:val="6"/>
          <w:sz w:val="24"/>
        </w:rPr>
      </w:pPr>
      <w:r>
        <w:rPr>
          <w:rFonts w:hint="eastAsia" w:ascii="宋体" w:hAnsi="宋体"/>
          <w:color w:val="000000"/>
          <w:sz w:val="24"/>
        </w:rPr>
        <w:t>附件</w:t>
      </w:r>
      <w:r>
        <w:rPr>
          <w:rFonts w:ascii="宋体" w:hAnsi="宋体"/>
          <w:color w:val="000000"/>
          <w:sz w:val="24"/>
        </w:rPr>
        <w:t>7</w:t>
      </w:r>
      <w:r>
        <w:rPr>
          <w:rFonts w:hint="eastAsia" w:ascii="宋体" w:hAnsi="宋体"/>
          <w:color w:val="000000"/>
          <w:sz w:val="24"/>
        </w:rPr>
        <w:t>——投标人认为必要的其他证明文件</w:t>
      </w:r>
    </w:p>
    <w:p w14:paraId="6C208004">
      <w:pPr>
        <w:tabs>
          <w:tab w:val="left" w:pos="5580"/>
        </w:tabs>
        <w:spacing w:line="360" w:lineRule="auto"/>
        <w:rPr>
          <w:rFonts w:ascii="宋体" w:hAnsi="宋体"/>
          <w:color w:val="000000"/>
          <w:sz w:val="24"/>
        </w:rPr>
      </w:pPr>
      <w:r>
        <w:rPr>
          <w:rFonts w:hint="eastAsia" w:ascii="宋体" w:hAnsi="宋体"/>
          <w:color w:val="000000"/>
          <w:sz w:val="24"/>
        </w:rPr>
        <w:t>附件</w:t>
      </w:r>
      <w:r>
        <w:rPr>
          <w:rFonts w:ascii="宋体" w:hAnsi="宋体"/>
          <w:color w:val="000000"/>
          <w:sz w:val="24"/>
        </w:rPr>
        <w:t>8</w:t>
      </w:r>
      <w:r>
        <w:rPr>
          <w:rFonts w:hint="eastAsia" w:ascii="宋体" w:hAnsi="宋体"/>
          <w:color w:val="000000"/>
          <w:sz w:val="24"/>
        </w:rPr>
        <w:t>——业绩证明材料</w:t>
      </w:r>
    </w:p>
    <w:p w14:paraId="35DC0919">
      <w:pPr>
        <w:tabs>
          <w:tab w:val="left" w:pos="5580"/>
        </w:tabs>
        <w:spacing w:line="360" w:lineRule="auto"/>
        <w:rPr>
          <w:rFonts w:ascii="宋体" w:hAnsi="宋体"/>
          <w:color w:val="000000"/>
          <w:sz w:val="24"/>
        </w:rPr>
      </w:pPr>
      <w:r>
        <w:rPr>
          <w:rFonts w:hint="eastAsia" w:ascii="宋体" w:hAnsi="宋体"/>
          <w:color w:val="000000"/>
          <w:sz w:val="24"/>
        </w:rPr>
        <w:t>附件</w:t>
      </w:r>
      <w:r>
        <w:rPr>
          <w:rFonts w:ascii="宋体" w:hAnsi="宋体"/>
          <w:color w:val="000000"/>
          <w:sz w:val="24"/>
        </w:rPr>
        <w:t>9</w:t>
      </w:r>
      <w:r>
        <w:rPr>
          <w:rFonts w:hint="eastAsia" w:ascii="宋体" w:hAnsi="宋体"/>
          <w:color w:val="000000"/>
          <w:sz w:val="24"/>
        </w:rPr>
        <w:t>——</w:t>
      </w:r>
      <w:r>
        <w:rPr>
          <w:rFonts w:hint="eastAsia" w:ascii="宋体" w:hAnsi="宋体"/>
          <w:color w:val="000000"/>
          <w:sz w:val="24"/>
          <w:szCs w:val="24"/>
        </w:rPr>
        <w:t>技术及服务具体的应答方案</w:t>
      </w:r>
    </w:p>
    <w:p w14:paraId="5555D06F">
      <w:pPr>
        <w:pStyle w:val="4"/>
        <w:rPr>
          <w:rFonts w:ascii="宋体" w:hAnsi="宋体"/>
          <w:color w:val="000000"/>
          <w:sz w:val="24"/>
          <w:szCs w:val="24"/>
        </w:rPr>
      </w:pPr>
      <w:bookmarkStart w:id="18" w:name="_Toc73427789"/>
      <w:r>
        <w:rPr>
          <w:rFonts w:hint="eastAsia" w:ascii="宋体" w:hAnsi="宋体"/>
          <w:color w:val="000000"/>
          <w:sz w:val="24"/>
          <w:szCs w:val="24"/>
        </w:rPr>
        <w:t>9．投标书</w:t>
      </w:r>
      <w:bookmarkEnd w:id="18"/>
    </w:p>
    <w:p w14:paraId="582A0FAF">
      <w:pPr>
        <w:spacing w:line="360" w:lineRule="auto"/>
        <w:ind w:firstLine="120" w:firstLineChars="50"/>
        <w:rPr>
          <w:rFonts w:ascii="宋体" w:hAnsi="宋体"/>
          <w:color w:val="000000"/>
          <w:sz w:val="24"/>
          <w:szCs w:val="24"/>
        </w:rPr>
      </w:pPr>
      <w:r>
        <w:rPr>
          <w:rFonts w:hint="eastAsia" w:ascii="宋体" w:hAnsi="宋体"/>
          <w:color w:val="000000"/>
          <w:sz w:val="24"/>
          <w:szCs w:val="24"/>
        </w:rPr>
        <w:t>投标人应完整地填写招标文件中提供的投标书、投标一览表和投标分项报价表。</w:t>
      </w:r>
    </w:p>
    <w:p w14:paraId="60A892DA">
      <w:pPr>
        <w:pStyle w:val="4"/>
        <w:rPr>
          <w:rFonts w:ascii="宋体" w:hAnsi="宋体"/>
          <w:color w:val="000000"/>
          <w:sz w:val="24"/>
          <w:szCs w:val="24"/>
        </w:rPr>
      </w:pPr>
      <w:bookmarkStart w:id="19" w:name="_Toc73427790"/>
      <w:r>
        <w:rPr>
          <w:rFonts w:hint="eastAsia" w:ascii="宋体" w:hAnsi="宋体"/>
          <w:color w:val="000000"/>
          <w:sz w:val="24"/>
          <w:szCs w:val="24"/>
        </w:rPr>
        <w:t>10．投标报价</w:t>
      </w:r>
      <w:bookmarkEnd w:id="19"/>
    </w:p>
    <w:p w14:paraId="3E168CB6">
      <w:pPr>
        <w:spacing w:line="360" w:lineRule="auto"/>
        <w:ind w:left="900" w:hanging="900"/>
        <w:rPr>
          <w:rFonts w:ascii="宋体" w:hAnsi="宋体"/>
          <w:color w:val="000000"/>
          <w:sz w:val="24"/>
        </w:rPr>
      </w:pPr>
      <w:r>
        <w:rPr>
          <w:rFonts w:hint="eastAsia" w:ascii="宋体" w:hAnsi="宋体"/>
          <w:color w:val="000000"/>
          <w:sz w:val="24"/>
        </w:rPr>
        <w:t>10.1   所有投标均以人民币报价。投标人的投标报价应遵守</w:t>
      </w:r>
      <w:r>
        <w:rPr>
          <w:rFonts w:ascii="宋体" w:hAnsi="宋体"/>
          <w:color w:val="000000"/>
          <w:sz w:val="24"/>
        </w:rPr>
        <w:t>“</w:t>
      </w:r>
      <w:r>
        <w:rPr>
          <w:rFonts w:hint="eastAsia" w:ascii="宋体" w:hAnsi="宋体"/>
          <w:color w:val="000000"/>
          <w:sz w:val="24"/>
        </w:rPr>
        <w:t>中华人民共和国价格法</w:t>
      </w:r>
      <w:r>
        <w:rPr>
          <w:rFonts w:ascii="宋体" w:hAnsi="宋体"/>
          <w:color w:val="000000"/>
          <w:sz w:val="24"/>
        </w:rPr>
        <w:t>”</w:t>
      </w:r>
      <w:r>
        <w:rPr>
          <w:rFonts w:hint="eastAsia" w:ascii="宋体" w:hAnsi="宋体"/>
          <w:color w:val="000000"/>
          <w:sz w:val="24"/>
        </w:rPr>
        <w:t>。</w:t>
      </w:r>
    </w:p>
    <w:p w14:paraId="022101F4">
      <w:pPr>
        <w:spacing w:before="120" w:line="360" w:lineRule="auto"/>
        <w:ind w:left="900" w:hanging="900"/>
        <w:rPr>
          <w:rFonts w:ascii="宋体" w:hAnsi="宋体"/>
          <w:color w:val="000000"/>
          <w:sz w:val="24"/>
        </w:rPr>
      </w:pPr>
      <w:r>
        <w:rPr>
          <w:rFonts w:ascii="宋体" w:hAnsi="宋体"/>
          <w:color w:val="000000"/>
          <w:sz w:val="24"/>
        </w:rPr>
        <w:t>10.2</w:t>
      </w:r>
      <w:r>
        <w:rPr>
          <w:rFonts w:ascii="宋体" w:hAnsi="宋体"/>
          <w:color w:val="000000"/>
          <w:sz w:val="24"/>
        </w:rPr>
        <w:tab/>
      </w:r>
      <w:r>
        <w:rPr>
          <w:rFonts w:hint="eastAsia" w:ascii="宋体" w:hAnsi="宋体"/>
          <w:color w:val="000000"/>
          <w:sz w:val="24"/>
        </w:rPr>
        <w:t>投标人应在投标分项报价表（附件三）上标明投标货物及相关服务的单价（如适用）和总价，并由法定代表人或其授权代表签署。</w:t>
      </w:r>
    </w:p>
    <w:p w14:paraId="4754AD54">
      <w:pPr>
        <w:spacing w:before="120" w:line="360" w:lineRule="auto"/>
        <w:ind w:left="900" w:hanging="900"/>
        <w:rPr>
          <w:rFonts w:ascii="宋体" w:hAnsi="宋体"/>
          <w:color w:val="000000"/>
          <w:sz w:val="24"/>
        </w:rPr>
      </w:pPr>
      <w:r>
        <w:rPr>
          <w:rFonts w:ascii="宋体" w:hAnsi="宋体"/>
          <w:color w:val="000000"/>
          <w:sz w:val="24"/>
        </w:rPr>
        <w:t>10.3</w:t>
      </w:r>
      <w:r>
        <w:rPr>
          <w:rFonts w:ascii="宋体" w:hAnsi="宋体"/>
          <w:color w:val="000000"/>
          <w:sz w:val="24"/>
        </w:rPr>
        <w:tab/>
      </w:r>
      <w:r>
        <w:rPr>
          <w:rFonts w:hint="eastAsia" w:ascii="宋体" w:hAnsi="宋体"/>
          <w:color w:val="000000"/>
          <w:sz w:val="24"/>
        </w:rPr>
        <w:t>投标分项报价表上的价格应按下列方式填写：</w:t>
      </w:r>
    </w:p>
    <w:p w14:paraId="168A587F">
      <w:pPr>
        <w:spacing w:line="360" w:lineRule="auto"/>
        <w:rPr>
          <w:rFonts w:ascii="宋体" w:hAnsi="宋体"/>
          <w:color w:val="000000"/>
          <w:sz w:val="24"/>
          <w:szCs w:val="24"/>
        </w:rPr>
      </w:pPr>
      <w:r>
        <w:rPr>
          <w:rFonts w:hint="eastAsia" w:ascii="宋体" w:hAnsi="宋体"/>
          <w:color w:val="000000"/>
          <w:sz w:val="24"/>
        </w:rPr>
        <w:t>10.3.1 投标报价：</w:t>
      </w:r>
      <w:r>
        <w:rPr>
          <w:rFonts w:ascii="宋体" w:hAnsi="宋体"/>
          <w:color w:val="000000"/>
          <w:sz w:val="24"/>
          <w:szCs w:val="24"/>
        </w:rPr>
        <w:t>应为</w:t>
      </w:r>
      <w:r>
        <w:rPr>
          <w:rFonts w:hint="eastAsia" w:ascii="宋体" w:hAnsi="宋体"/>
          <w:color w:val="000000"/>
          <w:sz w:val="24"/>
          <w:szCs w:val="24"/>
        </w:rPr>
        <w:t>现场交货价，含货款、增值税，运输费，安装费、保险</w:t>
      </w:r>
    </w:p>
    <w:p w14:paraId="5471B69C">
      <w:pPr>
        <w:spacing w:line="360" w:lineRule="auto"/>
        <w:ind w:firstLine="960" w:firstLineChars="400"/>
        <w:rPr>
          <w:rFonts w:ascii="宋体" w:hAnsi="宋体"/>
          <w:color w:val="000000"/>
          <w:sz w:val="24"/>
          <w:szCs w:val="24"/>
        </w:rPr>
      </w:pPr>
      <w:r>
        <w:rPr>
          <w:rFonts w:hint="eastAsia" w:ascii="宋体" w:hAnsi="宋体"/>
          <w:color w:val="000000"/>
          <w:sz w:val="24"/>
          <w:szCs w:val="24"/>
        </w:rPr>
        <w:t>费及相关服务费等一切费用。</w:t>
      </w:r>
    </w:p>
    <w:p w14:paraId="29775A89">
      <w:pPr>
        <w:tabs>
          <w:tab w:val="left" w:pos="630"/>
        </w:tabs>
        <w:spacing w:before="120" w:line="360" w:lineRule="auto"/>
        <w:ind w:left="900" w:hanging="900"/>
        <w:rPr>
          <w:rFonts w:ascii="宋体" w:hAnsi="宋体"/>
          <w:color w:val="000000"/>
          <w:sz w:val="24"/>
        </w:rPr>
      </w:pPr>
      <w:r>
        <w:rPr>
          <w:rFonts w:hint="eastAsia" w:ascii="宋体" w:hAnsi="宋体"/>
          <w:color w:val="000000"/>
          <w:sz w:val="24"/>
        </w:rPr>
        <w:t>1</w:t>
      </w:r>
      <w:r>
        <w:rPr>
          <w:rFonts w:ascii="宋体" w:hAnsi="宋体"/>
          <w:color w:val="000000"/>
          <w:sz w:val="24"/>
        </w:rPr>
        <w:t>0.</w:t>
      </w:r>
      <w:r>
        <w:rPr>
          <w:rFonts w:hint="eastAsia" w:ascii="宋体" w:hAnsi="宋体"/>
          <w:color w:val="000000"/>
          <w:sz w:val="24"/>
        </w:rPr>
        <w:t>4</w:t>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为了方便评标委员会对投标文件进行比较，投标人可根据本章10</w:t>
      </w:r>
      <w:r>
        <w:rPr>
          <w:rFonts w:ascii="宋体" w:hAnsi="宋体"/>
          <w:color w:val="000000"/>
          <w:sz w:val="24"/>
        </w:rPr>
        <w:t>.3</w:t>
      </w:r>
      <w:r>
        <w:rPr>
          <w:rFonts w:hint="eastAsia" w:ascii="宋体" w:hAnsi="宋体"/>
          <w:color w:val="000000"/>
          <w:sz w:val="24"/>
        </w:rPr>
        <w:t>条的规定将投标价分成几部分，并不限制招标人以上述任何条件订立合同的权利。</w:t>
      </w:r>
    </w:p>
    <w:p w14:paraId="62D907C5">
      <w:pPr>
        <w:tabs>
          <w:tab w:val="left" w:pos="900"/>
        </w:tabs>
        <w:spacing w:before="120" w:line="360" w:lineRule="auto"/>
        <w:ind w:left="900" w:hanging="900"/>
        <w:rPr>
          <w:rFonts w:ascii="宋体" w:hAnsi="宋体"/>
          <w:color w:val="000000"/>
          <w:sz w:val="24"/>
        </w:rPr>
      </w:pPr>
      <w:r>
        <w:rPr>
          <w:rFonts w:ascii="宋体" w:hAnsi="宋体"/>
          <w:color w:val="000000"/>
          <w:sz w:val="24"/>
        </w:rPr>
        <w:t>10.5</w:t>
      </w:r>
      <w:r>
        <w:rPr>
          <w:rFonts w:ascii="宋体" w:hAnsi="宋体"/>
          <w:color w:val="000000"/>
          <w:sz w:val="24"/>
        </w:rPr>
        <w:tab/>
      </w:r>
      <w:r>
        <w:rPr>
          <w:rFonts w:hint="eastAsia" w:ascii="宋体" w:hAnsi="宋体"/>
          <w:color w:val="000000"/>
          <w:sz w:val="24"/>
        </w:rPr>
        <w:t>投标人所报的各分项投标单价在合同履行过程中是固定不变的，不得以任何理由予以变更。任何包含价格调整要求的投标，依据本章第20.3条规定，将被认为是非响应性投标而予以拒绝。</w:t>
      </w:r>
    </w:p>
    <w:p w14:paraId="3B0BEDC7">
      <w:pPr>
        <w:spacing w:line="360" w:lineRule="auto"/>
        <w:ind w:left="960" w:hanging="960" w:hangingChars="400"/>
        <w:rPr>
          <w:rFonts w:ascii="宋体" w:hAnsi="宋体"/>
          <w:b/>
          <w:color w:val="000000"/>
          <w:sz w:val="24"/>
          <w:szCs w:val="24"/>
        </w:rPr>
      </w:pPr>
      <w:r>
        <w:rPr>
          <w:rFonts w:hint="eastAsia" w:ascii="宋体" w:hAnsi="宋体"/>
          <w:color w:val="000000"/>
          <w:sz w:val="24"/>
        </w:rPr>
        <w:t xml:space="preserve">10.6 </w:t>
      </w:r>
      <w:r>
        <w:rPr>
          <w:rFonts w:hint="eastAsia" w:ascii="宋体" w:hAnsi="宋体"/>
          <w:b/>
          <w:color w:val="000000"/>
          <w:sz w:val="24"/>
        </w:rPr>
        <w:t xml:space="preserve">  每个投标人只能有一个投标方案和报价，否则该投标将被拒绝。</w:t>
      </w:r>
    </w:p>
    <w:p w14:paraId="53ADC3A2">
      <w:pPr>
        <w:pStyle w:val="4"/>
        <w:rPr>
          <w:rFonts w:ascii="宋体" w:hAnsi="宋体"/>
          <w:color w:val="000000"/>
          <w:sz w:val="24"/>
          <w:szCs w:val="24"/>
        </w:rPr>
      </w:pPr>
      <w:r>
        <w:rPr>
          <w:rFonts w:hint="eastAsia" w:ascii="宋体" w:hAnsi="宋体"/>
          <w:color w:val="000000"/>
          <w:sz w:val="24"/>
          <w:szCs w:val="24"/>
        </w:rPr>
        <w:t xml:space="preserve"> </w:t>
      </w:r>
      <w:bookmarkStart w:id="20" w:name="_Toc73427791"/>
      <w:r>
        <w:rPr>
          <w:rFonts w:hint="eastAsia" w:ascii="宋体" w:hAnsi="宋体"/>
          <w:color w:val="000000"/>
          <w:sz w:val="24"/>
          <w:szCs w:val="24"/>
        </w:rPr>
        <w:t>11．投标货币</w:t>
      </w:r>
      <w:bookmarkEnd w:id="20"/>
    </w:p>
    <w:p w14:paraId="4C36FD9C">
      <w:pPr>
        <w:spacing w:line="360" w:lineRule="auto"/>
        <w:ind w:firstLine="480" w:firstLineChars="200"/>
        <w:rPr>
          <w:rFonts w:ascii="宋体" w:hAnsi="宋体"/>
          <w:color w:val="000000"/>
          <w:sz w:val="24"/>
          <w:szCs w:val="24"/>
        </w:rPr>
      </w:pPr>
      <w:r>
        <w:rPr>
          <w:rFonts w:hint="eastAsia" w:ascii="宋体" w:hAnsi="宋体"/>
          <w:color w:val="000000"/>
          <w:sz w:val="24"/>
          <w:szCs w:val="24"/>
        </w:rPr>
        <w:t>投标人需用人民币作为投标报价。</w:t>
      </w:r>
    </w:p>
    <w:p w14:paraId="74AC28C1">
      <w:pPr>
        <w:pStyle w:val="4"/>
        <w:rPr>
          <w:rFonts w:ascii="宋体" w:hAnsi="宋体"/>
          <w:color w:val="000000"/>
          <w:sz w:val="24"/>
          <w:szCs w:val="24"/>
        </w:rPr>
      </w:pPr>
      <w:bookmarkStart w:id="21" w:name="_Toc73427792"/>
      <w:r>
        <w:rPr>
          <w:rFonts w:hint="eastAsia" w:ascii="宋体" w:hAnsi="宋体"/>
          <w:color w:val="000000"/>
          <w:sz w:val="24"/>
          <w:szCs w:val="24"/>
        </w:rPr>
        <w:t>12．证明投标人合格和资格的文件</w:t>
      </w:r>
      <w:bookmarkEnd w:id="21"/>
    </w:p>
    <w:p w14:paraId="0BA46136">
      <w:pPr>
        <w:spacing w:line="360" w:lineRule="auto"/>
        <w:ind w:left="1131" w:leftChars="269" w:hanging="566" w:hangingChars="236"/>
        <w:rPr>
          <w:rFonts w:ascii="宋体" w:hAnsi="宋体"/>
          <w:color w:val="000000"/>
          <w:sz w:val="24"/>
          <w:szCs w:val="24"/>
        </w:rPr>
      </w:pPr>
      <w:r>
        <w:rPr>
          <w:rFonts w:hint="eastAsia" w:ascii="宋体" w:hAnsi="宋体"/>
          <w:color w:val="000000"/>
          <w:sz w:val="24"/>
          <w:szCs w:val="24"/>
        </w:rPr>
        <w:t>12.1 投标人应提交证明其有资格参加投标和中标后有能力履行合同的文件，并作为其投标文件的一部分。</w:t>
      </w:r>
    </w:p>
    <w:p w14:paraId="3C321A14">
      <w:pPr>
        <w:numPr>
          <w:ilvl w:val="1"/>
          <w:numId w:val="7"/>
        </w:numPr>
        <w:tabs>
          <w:tab w:val="clear" w:pos="1287"/>
        </w:tabs>
        <w:spacing w:line="360" w:lineRule="auto"/>
        <w:ind w:left="1134" w:hanging="567"/>
        <w:rPr>
          <w:rFonts w:ascii="宋体" w:hAnsi="宋体"/>
          <w:color w:val="000000"/>
          <w:sz w:val="24"/>
          <w:szCs w:val="24"/>
        </w:rPr>
      </w:pPr>
      <w:r>
        <w:rPr>
          <w:rFonts w:hint="eastAsia" w:ascii="宋体" w:hAnsi="宋体"/>
          <w:color w:val="000000"/>
          <w:sz w:val="24"/>
          <w:szCs w:val="24"/>
        </w:rPr>
        <w:t>投标人应提交证明其合格性的文件。投标人应符合本章第2条对合格投标人的要求及完整提供附件</w:t>
      </w:r>
      <w:r>
        <w:rPr>
          <w:rFonts w:ascii="宋体" w:hAnsi="宋体"/>
          <w:color w:val="000000"/>
          <w:sz w:val="24"/>
          <w:szCs w:val="24"/>
        </w:rPr>
        <w:t>6</w:t>
      </w:r>
      <w:r>
        <w:rPr>
          <w:rFonts w:hint="eastAsia" w:ascii="宋体" w:hAnsi="宋体"/>
          <w:color w:val="000000"/>
          <w:sz w:val="24"/>
          <w:szCs w:val="24"/>
        </w:rPr>
        <w:t>中的全部文件。</w:t>
      </w:r>
    </w:p>
    <w:p w14:paraId="691F335A">
      <w:pPr>
        <w:pStyle w:val="4"/>
        <w:rPr>
          <w:rFonts w:ascii="宋体" w:hAnsi="宋体"/>
          <w:color w:val="000000"/>
          <w:sz w:val="24"/>
          <w:szCs w:val="24"/>
        </w:rPr>
      </w:pPr>
      <w:bookmarkStart w:id="22" w:name="_Toc73427793"/>
      <w:r>
        <w:rPr>
          <w:rFonts w:hint="eastAsia" w:ascii="宋体" w:hAnsi="宋体"/>
          <w:color w:val="000000"/>
          <w:sz w:val="24"/>
          <w:szCs w:val="24"/>
        </w:rPr>
        <w:t>13．证明货物的合格性和符合招标文件规定的文件</w:t>
      </w:r>
      <w:bookmarkEnd w:id="22"/>
    </w:p>
    <w:p w14:paraId="6D01E579">
      <w:pPr>
        <w:spacing w:line="360" w:lineRule="auto"/>
        <w:ind w:left="1167" w:leftChars="270" w:hanging="600" w:hangingChars="250"/>
        <w:rPr>
          <w:rFonts w:ascii="宋体" w:hAnsi="宋体"/>
          <w:color w:val="000000"/>
          <w:sz w:val="24"/>
          <w:szCs w:val="24"/>
        </w:rPr>
      </w:pPr>
      <w:r>
        <w:rPr>
          <w:rFonts w:hint="eastAsia" w:ascii="宋体" w:hAnsi="宋体"/>
          <w:color w:val="000000"/>
          <w:sz w:val="24"/>
          <w:szCs w:val="24"/>
        </w:rPr>
        <w:t>13.1 投标人应提交证明文件证明其拟供的合同项下的货物和服务的合格性符合招标文件规定。该证明文件作为投标文件的一部分。</w:t>
      </w:r>
    </w:p>
    <w:p w14:paraId="7CCD54BB">
      <w:pPr>
        <w:spacing w:line="360" w:lineRule="auto"/>
        <w:ind w:left="1167" w:leftChars="270" w:hanging="600" w:hangingChars="250"/>
        <w:rPr>
          <w:rFonts w:ascii="宋体" w:hAnsi="宋体"/>
          <w:color w:val="000000"/>
          <w:sz w:val="24"/>
          <w:szCs w:val="24"/>
        </w:rPr>
      </w:pPr>
      <w:r>
        <w:rPr>
          <w:rFonts w:hint="eastAsia" w:ascii="宋体" w:hAnsi="宋体"/>
          <w:color w:val="000000"/>
          <w:sz w:val="24"/>
          <w:szCs w:val="24"/>
        </w:rPr>
        <w:t>13.2 证明货物和服务满足招标文件的要求的文件，可以是文字资料、图纸和数据，它包括：</w:t>
      </w:r>
    </w:p>
    <w:p w14:paraId="6C387AD9">
      <w:pPr>
        <w:numPr>
          <w:ilvl w:val="0"/>
          <w:numId w:val="8"/>
        </w:numPr>
        <w:spacing w:line="360" w:lineRule="auto"/>
        <w:rPr>
          <w:rFonts w:ascii="宋体" w:hAnsi="宋体"/>
          <w:color w:val="000000"/>
          <w:sz w:val="24"/>
          <w:szCs w:val="24"/>
        </w:rPr>
      </w:pPr>
      <w:r>
        <w:rPr>
          <w:rFonts w:hint="eastAsia" w:ascii="宋体" w:hAnsi="宋体"/>
          <w:color w:val="000000"/>
          <w:sz w:val="24"/>
          <w:szCs w:val="24"/>
        </w:rPr>
        <w:t>货物主要技术指标和性能的详细说明。</w:t>
      </w:r>
    </w:p>
    <w:p w14:paraId="4DCDCCD8">
      <w:pPr>
        <w:numPr>
          <w:ilvl w:val="0"/>
          <w:numId w:val="8"/>
        </w:numPr>
        <w:spacing w:line="360" w:lineRule="auto"/>
        <w:rPr>
          <w:rFonts w:ascii="宋体" w:hAnsi="宋体"/>
          <w:color w:val="000000"/>
          <w:sz w:val="24"/>
          <w:szCs w:val="24"/>
        </w:rPr>
      </w:pPr>
      <w:r>
        <w:rPr>
          <w:rFonts w:hint="eastAsia" w:ascii="宋体" w:hAnsi="宋体"/>
          <w:color w:val="000000"/>
          <w:sz w:val="24"/>
          <w:szCs w:val="24"/>
        </w:rPr>
        <w:t>所提供货物的售后服务方案及售后服务承诺。</w:t>
      </w:r>
    </w:p>
    <w:p w14:paraId="6B38579A">
      <w:pPr>
        <w:numPr>
          <w:ilvl w:val="0"/>
          <w:numId w:val="8"/>
        </w:numPr>
        <w:spacing w:line="360" w:lineRule="auto"/>
        <w:rPr>
          <w:rFonts w:ascii="宋体" w:hAnsi="宋体"/>
          <w:color w:val="000000"/>
          <w:sz w:val="24"/>
          <w:szCs w:val="24"/>
        </w:rPr>
      </w:pPr>
      <w:r>
        <w:rPr>
          <w:rFonts w:hint="eastAsia" w:ascii="宋体" w:hAnsi="宋体"/>
          <w:color w:val="000000"/>
          <w:sz w:val="24"/>
          <w:szCs w:val="24"/>
        </w:rPr>
        <w:t>货物从招标人开始使用至质量保证期结束内正常连续地使用所必须的备件和专用工具清单，包括备件和专用工具的货源及现行价格。</w:t>
      </w:r>
    </w:p>
    <w:p w14:paraId="6B85A6AE">
      <w:pPr>
        <w:numPr>
          <w:ilvl w:val="0"/>
          <w:numId w:val="8"/>
        </w:numPr>
        <w:spacing w:line="360" w:lineRule="auto"/>
        <w:rPr>
          <w:rFonts w:ascii="宋体" w:hAnsi="宋体"/>
          <w:color w:val="000000"/>
          <w:sz w:val="24"/>
          <w:szCs w:val="24"/>
        </w:rPr>
      </w:pPr>
      <w:r>
        <w:rPr>
          <w:rFonts w:hint="eastAsia" w:ascii="宋体" w:hAnsi="宋体"/>
          <w:color w:val="000000"/>
          <w:sz w:val="24"/>
          <w:szCs w:val="24"/>
        </w:rPr>
        <w:t>对照招标文件技术规格,逐条说明所提供货物和服务已对招标人的技术规格做出了实质性的响应，或申明与技术规格条文的偏差和例外</w:t>
      </w:r>
      <w:r>
        <w:rPr>
          <w:rFonts w:hint="eastAsia" w:ascii="宋体" w:hAnsi="宋体" w:cs="宋体"/>
          <w:color w:val="000000"/>
          <w:sz w:val="24"/>
        </w:rPr>
        <w:t>【关于“</w:t>
      </w:r>
      <w:r>
        <w:rPr>
          <w:rFonts w:hint="eastAsia" w:ascii="宋体" w:hAnsi="宋体"/>
          <w:color w:val="000000"/>
          <w:sz w:val="24"/>
          <w:szCs w:val="24"/>
        </w:rPr>
        <w:t>第五章 货物需求及服务需求”</w:t>
      </w:r>
      <w:r>
        <w:rPr>
          <w:rFonts w:hint="eastAsia" w:ascii="宋体" w:hAnsi="宋体" w:cs="宋体"/>
          <w:color w:val="000000"/>
          <w:sz w:val="24"/>
        </w:rPr>
        <w:t>的所有投标偏差和例外均写入“技术规格偏离表”（附件</w:t>
      </w:r>
      <w:r>
        <w:rPr>
          <w:rFonts w:ascii="宋体" w:hAnsi="宋体" w:cs="宋体"/>
          <w:color w:val="000000"/>
          <w:sz w:val="24"/>
        </w:rPr>
        <w:t>4</w:t>
      </w:r>
      <w:r>
        <w:rPr>
          <w:rFonts w:hint="eastAsia" w:ascii="宋体" w:hAnsi="宋体" w:cs="宋体"/>
          <w:color w:val="000000"/>
          <w:sz w:val="24"/>
        </w:rPr>
        <w:t>），关于其它内容的投标偏差和例外均写入“商务条款偏离表”（附件</w:t>
      </w:r>
      <w:r>
        <w:rPr>
          <w:rFonts w:ascii="宋体" w:hAnsi="宋体" w:cs="宋体"/>
          <w:color w:val="000000"/>
          <w:sz w:val="24"/>
        </w:rPr>
        <w:t>5</w:t>
      </w:r>
      <w:r>
        <w:rPr>
          <w:rFonts w:hint="eastAsia" w:ascii="宋体" w:hAnsi="宋体" w:cs="宋体"/>
          <w:color w:val="000000"/>
          <w:sz w:val="24"/>
        </w:rPr>
        <w:t>）】</w:t>
      </w:r>
      <w:r>
        <w:rPr>
          <w:rFonts w:hint="eastAsia" w:ascii="宋体" w:hAnsi="宋体"/>
          <w:color w:val="000000"/>
          <w:sz w:val="24"/>
          <w:szCs w:val="24"/>
        </w:rPr>
        <w:t>。</w:t>
      </w:r>
    </w:p>
    <w:p w14:paraId="0158453F">
      <w:pPr>
        <w:numPr>
          <w:ilvl w:val="0"/>
          <w:numId w:val="8"/>
        </w:numPr>
        <w:spacing w:line="360" w:lineRule="auto"/>
        <w:rPr>
          <w:rFonts w:ascii="宋体" w:hAnsi="宋体"/>
          <w:color w:val="000000"/>
          <w:sz w:val="24"/>
          <w:szCs w:val="24"/>
        </w:rPr>
      </w:pPr>
      <w:r>
        <w:rPr>
          <w:rFonts w:hint="eastAsia" w:ascii="宋体" w:hAnsi="宋体"/>
          <w:color w:val="000000"/>
          <w:sz w:val="24"/>
        </w:rPr>
        <w:t>投标人应注意招标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14:paraId="326521E2">
      <w:pPr>
        <w:pStyle w:val="4"/>
        <w:rPr>
          <w:rFonts w:ascii="宋体" w:hAnsi="宋体"/>
          <w:color w:val="000000"/>
          <w:sz w:val="24"/>
          <w:szCs w:val="24"/>
        </w:rPr>
      </w:pPr>
      <w:bookmarkStart w:id="23" w:name="_Toc73427794"/>
      <w:r>
        <w:rPr>
          <w:rFonts w:hint="eastAsia" w:ascii="宋体" w:hAnsi="宋体"/>
          <w:color w:val="000000"/>
          <w:sz w:val="24"/>
          <w:szCs w:val="24"/>
        </w:rPr>
        <w:t>14．投标保证金</w:t>
      </w:r>
      <w:bookmarkEnd w:id="23"/>
    </w:p>
    <w:p w14:paraId="6CD1A415">
      <w:pPr>
        <w:spacing w:line="360" w:lineRule="auto"/>
        <w:ind w:left="1047" w:leftChars="270" w:hanging="480" w:hangingChars="200"/>
        <w:rPr>
          <w:rFonts w:ascii="宋体" w:hAnsi="宋体"/>
          <w:color w:val="000000"/>
          <w:sz w:val="24"/>
          <w:szCs w:val="24"/>
        </w:rPr>
      </w:pPr>
      <w:r>
        <w:rPr>
          <w:rFonts w:hint="eastAsia" w:ascii="宋体" w:hAnsi="宋体"/>
          <w:color w:val="000000"/>
          <w:sz w:val="24"/>
          <w:szCs w:val="24"/>
        </w:rPr>
        <w:t>14.1 投标人应提交“投标资料表”规定数额的投标保证金，并作为其投标的一部分。</w:t>
      </w:r>
    </w:p>
    <w:p w14:paraId="41909BD3">
      <w:pPr>
        <w:spacing w:line="360" w:lineRule="auto"/>
        <w:ind w:left="1047" w:leftChars="270" w:hanging="480" w:hangingChars="200"/>
        <w:rPr>
          <w:rFonts w:ascii="宋体" w:hAnsi="宋体"/>
          <w:color w:val="000000"/>
          <w:sz w:val="24"/>
          <w:szCs w:val="24"/>
        </w:rPr>
      </w:pPr>
      <w:r>
        <w:rPr>
          <w:rFonts w:hint="eastAsia" w:ascii="宋体" w:hAnsi="宋体"/>
          <w:color w:val="000000"/>
          <w:sz w:val="24"/>
          <w:szCs w:val="24"/>
        </w:rPr>
        <w:t>14.2投标保证金是为了保护招标人和招标代理机构免遭因投标人的行为而蒙受损失。招标人和招标代理机构在因投标人的行为受到损害时可根据本章第14.</w:t>
      </w:r>
      <w:r>
        <w:rPr>
          <w:rFonts w:ascii="宋体" w:hAnsi="宋体"/>
          <w:color w:val="000000"/>
          <w:sz w:val="24"/>
          <w:szCs w:val="24"/>
        </w:rPr>
        <w:t>6</w:t>
      </w:r>
      <w:r>
        <w:rPr>
          <w:rFonts w:hint="eastAsia" w:ascii="宋体" w:hAnsi="宋体"/>
          <w:color w:val="000000"/>
          <w:sz w:val="24"/>
          <w:szCs w:val="24"/>
        </w:rPr>
        <w:t>条的规定没收投标人的投标保证金。</w:t>
      </w:r>
    </w:p>
    <w:p w14:paraId="63B6B5F5">
      <w:pPr>
        <w:spacing w:line="360" w:lineRule="auto"/>
        <w:ind w:left="1133" w:leftChars="270" w:hanging="566" w:hangingChars="236"/>
        <w:rPr>
          <w:rFonts w:ascii="宋体" w:hAnsi="宋体"/>
          <w:b/>
          <w:color w:val="000000"/>
          <w:sz w:val="24"/>
          <w:szCs w:val="24"/>
        </w:rPr>
      </w:pPr>
      <w:r>
        <w:rPr>
          <w:rFonts w:hint="eastAsia" w:ascii="宋体" w:hAnsi="宋体"/>
          <w:color w:val="000000"/>
          <w:sz w:val="24"/>
          <w:szCs w:val="24"/>
        </w:rPr>
        <w:t>14.3 投标保证金应用投标货币，并采用下列任何一种形式：</w:t>
      </w:r>
      <w:r>
        <w:rPr>
          <w:rFonts w:hint="eastAsia" w:ascii="宋体" w:hAnsi="宋体"/>
          <w:b/>
          <w:color w:val="000000"/>
          <w:sz w:val="24"/>
          <w:szCs w:val="24"/>
        </w:rPr>
        <w:t>支票、电汇、网银。</w:t>
      </w:r>
      <w:r>
        <w:rPr>
          <w:rFonts w:hint="eastAsia" w:ascii="宋体" w:hAnsi="宋体" w:cs="宋体"/>
          <w:color w:val="000000"/>
          <w:kern w:val="0"/>
          <w:sz w:val="24"/>
          <w:szCs w:val="24"/>
        </w:rPr>
        <w:t>投标保证金应当从其基本账户转出。</w:t>
      </w:r>
    </w:p>
    <w:p w14:paraId="736F5CB4">
      <w:pPr>
        <w:spacing w:line="360" w:lineRule="auto"/>
        <w:ind w:left="1133" w:leftChars="254" w:hanging="600" w:hangingChars="250"/>
        <w:rPr>
          <w:rFonts w:ascii="宋体" w:hAnsi="宋体"/>
          <w:color w:val="000000"/>
          <w:sz w:val="24"/>
          <w:szCs w:val="24"/>
        </w:rPr>
      </w:pPr>
      <w:r>
        <w:rPr>
          <w:rFonts w:hint="eastAsia" w:ascii="宋体" w:hAnsi="宋体"/>
          <w:color w:val="000000"/>
          <w:sz w:val="24"/>
          <w:szCs w:val="24"/>
        </w:rPr>
        <w:t>14.4 凡没有根据本章第14.1和14.3条的规定随附投标保证金的投标，应按本章第</w:t>
      </w:r>
      <w:r>
        <w:rPr>
          <w:rFonts w:hint="eastAsia" w:ascii="宋体" w:hAnsi="宋体"/>
          <w:b/>
          <w:color w:val="000000"/>
          <w:sz w:val="24"/>
          <w:szCs w:val="24"/>
        </w:rPr>
        <w:t>24条</w:t>
      </w:r>
      <w:r>
        <w:rPr>
          <w:rFonts w:hint="eastAsia" w:ascii="宋体" w:hAnsi="宋体"/>
          <w:color w:val="000000"/>
          <w:sz w:val="24"/>
          <w:szCs w:val="24"/>
        </w:rPr>
        <w:t>的规定视为非响应性投标予以拒绝。</w:t>
      </w:r>
    </w:p>
    <w:p w14:paraId="12446A64">
      <w:pPr>
        <w:spacing w:line="360" w:lineRule="auto"/>
        <w:ind w:left="1133" w:leftChars="270" w:hanging="566" w:hangingChars="236"/>
        <w:rPr>
          <w:rFonts w:ascii="宋体" w:hAnsi="宋体"/>
          <w:color w:val="000000"/>
          <w:sz w:val="24"/>
        </w:rPr>
      </w:pPr>
      <w:r>
        <w:rPr>
          <w:rFonts w:hint="eastAsia" w:ascii="宋体" w:hAnsi="宋体"/>
          <w:color w:val="000000"/>
          <w:sz w:val="24"/>
          <w:szCs w:val="24"/>
        </w:rPr>
        <w:t xml:space="preserve">14.5 </w:t>
      </w:r>
      <w:r>
        <w:rPr>
          <w:rFonts w:hint="eastAsia" w:ascii="宋体" w:hAnsi="宋体" w:cs="宋体"/>
          <w:color w:val="000000"/>
          <w:kern w:val="0"/>
          <w:sz w:val="24"/>
          <w:szCs w:val="24"/>
        </w:rPr>
        <w:t>中标人和未中标的投标人</w:t>
      </w:r>
      <w:r>
        <w:rPr>
          <w:rFonts w:hint="eastAsia" w:ascii="宋体" w:hAnsi="宋体"/>
          <w:color w:val="000000"/>
          <w:sz w:val="24"/>
          <w:szCs w:val="24"/>
        </w:rPr>
        <w:t>的投标保证金，将</w:t>
      </w:r>
      <w:r>
        <w:rPr>
          <w:rFonts w:hint="eastAsia" w:ascii="宋体" w:hAnsi="宋体" w:cs="宋体"/>
          <w:color w:val="000000"/>
          <w:kern w:val="0"/>
          <w:sz w:val="24"/>
          <w:szCs w:val="24"/>
        </w:rPr>
        <w:t>在书面合同签订后5日内</w:t>
      </w:r>
      <w:r>
        <w:rPr>
          <w:rFonts w:hint="eastAsia" w:ascii="宋体" w:hAnsi="宋体"/>
          <w:color w:val="000000"/>
          <w:sz w:val="24"/>
        </w:rPr>
        <w:t>内无息退还投标人。</w:t>
      </w:r>
    </w:p>
    <w:p w14:paraId="65B241B0">
      <w:pPr>
        <w:spacing w:line="360" w:lineRule="auto"/>
        <w:ind w:left="567"/>
        <w:rPr>
          <w:rFonts w:ascii="宋体" w:hAnsi="宋体"/>
          <w:color w:val="000000"/>
          <w:sz w:val="24"/>
          <w:szCs w:val="24"/>
        </w:rPr>
      </w:pPr>
      <w:r>
        <w:rPr>
          <w:rFonts w:hint="eastAsia" w:ascii="宋体" w:hAnsi="宋体"/>
          <w:color w:val="000000"/>
          <w:sz w:val="24"/>
          <w:szCs w:val="24"/>
        </w:rPr>
        <w:t>14.</w:t>
      </w:r>
      <w:r>
        <w:rPr>
          <w:rFonts w:ascii="宋体" w:hAnsi="宋体"/>
          <w:color w:val="000000"/>
          <w:sz w:val="24"/>
          <w:szCs w:val="24"/>
        </w:rPr>
        <w:t>6</w:t>
      </w:r>
      <w:r>
        <w:rPr>
          <w:rFonts w:hint="eastAsia" w:ascii="宋体" w:hAnsi="宋体"/>
          <w:color w:val="000000"/>
          <w:sz w:val="24"/>
          <w:szCs w:val="24"/>
        </w:rPr>
        <w:t xml:space="preserve"> 下列任何情况发生时，投标保证金将</w:t>
      </w:r>
      <w:r>
        <w:rPr>
          <w:rFonts w:hint="eastAsia" w:ascii="宋体" w:hAnsi="宋体"/>
          <w:color w:val="000000"/>
          <w:sz w:val="24"/>
        </w:rPr>
        <w:t>不予退还</w:t>
      </w:r>
      <w:r>
        <w:rPr>
          <w:rFonts w:hint="eastAsia" w:ascii="宋体" w:hAnsi="宋体"/>
          <w:color w:val="000000"/>
          <w:sz w:val="24"/>
          <w:szCs w:val="24"/>
        </w:rPr>
        <w:t>：</w:t>
      </w:r>
    </w:p>
    <w:p w14:paraId="028EE218">
      <w:pPr>
        <w:pStyle w:val="22"/>
        <w:tabs>
          <w:tab w:val="left" w:pos="2240"/>
        </w:tabs>
        <w:spacing w:line="360" w:lineRule="auto"/>
        <w:ind w:firstLine="840" w:firstLineChars="350"/>
        <w:rPr>
          <w:rFonts w:hAnsi="宋体"/>
          <w:sz w:val="24"/>
        </w:rPr>
      </w:pPr>
      <w:r>
        <w:rPr>
          <w:rFonts w:hint="eastAsia" w:hAnsi="宋体"/>
          <w:sz w:val="24"/>
        </w:rPr>
        <w:t>（1）投标人</w:t>
      </w:r>
      <w:r>
        <w:rPr>
          <w:rFonts w:hint="eastAsia" w:hAnsi="宋体"/>
          <w:sz w:val="24"/>
          <w:szCs w:val="24"/>
        </w:rPr>
        <w:t>在投标有效期内撤销投标文件的；</w:t>
      </w:r>
    </w:p>
    <w:p w14:paraId="3E846E70">
      <w:pPr>
        <w:pStyle w:val="22"/>
        <w:tabs>
          <w:tab w:val="left" w:pos="2240"/>
        </w:tabs>
        <w:spacing w:line="360" w:lineRule="auto"/>
        <w:ind w:firstLine="840" w:firstLineChars="350"/>
        <w:rPr>
          <w:rFonts w:hAnsi="宋体"/>
          <w:sz w:val="24"/>
        </w:rPr>
      </w:pPr>
      <w:r>
        <w:rPr>
          <w:rFonts w:hint="eastAsia" w:hAnsi="宋体"/>
          <w:sz w:val="24"/>
        </w:rPr>
        <w:t>（2）投标人在投标文件中提供任何虚假材料的；</w:t>
      </w:r>
    </w:p>
    <w:p w14:paraId="798D8F9C">
      <w:pPr>
        <w:pStyle w:val="22"/>
        <w:tabs>
          <w:tab w:val="left" w:pos="2240"/>
        </w:tabs>
        <w:spacing w:line="360" w:lineRule="auto"/>
        <w:ind w:left="1438" w:leftChars="399" w:hanging="600" w:hangingChars="250"/>
        <w:rPr>
          <w:rFonts w:hAnsi="宋体"/>
          <w:sz w:val="24"/>
        </w:rPr>
      </w:pPr>
      <w:r>
        <w:rPr>
          <w:rFonts w:hint="eastAsia" w:hAnsi="宋体"/>
          <w:sz w:val="24"/>
        </w:rPr>
        <w:t>（3）除因不可抗力或招标文件认可的情形以外，中标人放弃中标或者不按本须知的规定与采购人签订合同的；</w:t>
      </w:r>
    </w:p>
    <w:p w14:paraId="46CB4B1C">
      <w:pPr>
        <w:pStyle w:val="22"/>
        <w:tabs>
          <w:tab w:val="left" w:pos="2240"/>
        </w:tabs>
        <w:spacing w:line="360" w:lineRule="auto"/>
        <w:ind w:left="1438" w:leftChars="399" w:hanging="600" w:hangingChars="250"/>
        <w:rPr>
          <w:rFonts w:hAnsi="宋体"/>
          <w:sz w:val="24"/>
        </w:rPr>
      </w:pPr>
      <w:r>
        <w:rPr>
          <w:rFonts w:hint="eastAsia" w:hAnsi="宋体"/>
          <w:sz w:val="24"/>
        </w:rPr>
        <w:t>（4）投标人与采购人或其他投标人恶意串通的；</w:t>
      </w:r>
    </w:p>
    <w:p w14:paraId="000D3955">
      <w:pPr>
        <w:pStyle w:val="22"/>
        <w:tabs>
          <w:tab w:val="left" w:pos="2240"/>
        </w:tabs>
        <w:spacing w:line="360" w:lineRule="auto"/>
        <w:ind w:left="1438" w:leftChars="399" w:hanging="600" w:hangingChars="250"/>
        <w:rPr>
          <w:rFonts w:hAnsi="宋体"/>
          <w:sz w:val="24"/>
        </w:rPr>
      </w:pPr>
      <w:r>
        <w:rPr>
          <w:rFonts w:hint="eastAsia" w:hAnsi="宋体"/>
          <w:sz w:val="24"/>
        </w:rPr>
        <w:t>（5）未按招标文件要求足额缴纳代理费的；</w:t>
      </w:r>
    </w:p>
    <w:p w14:paraId="165D2249">
      <w:pPr>
        <w:pStyle w:val="22"/>
        <w:tabs>
          <w:tab w:val="left" w:pos="2240"/>
        </w:tabs>
        <w:spacing w:line="360" w:lineRule="auto"/>
        <w:ind w:left="1438" w:leftChars="399" w:hanging="600" w:hangingChars="250"/>
        <w:rPr>
          <w:rFonts w:hAnsi="宋体"/>
          <w:sz w:val="24"/>
        </w:rPr>
      </w:pPr>
      <w:r>
        <w:rPr>
          <w:rFonts w:hint="eastAsia" w:hAnsi="宋体"/>
          <w:sz w:val="24"/>
        </w:rPr>
        <w:t>（6）招标文件规定的其他情形。</w:t>
      </w:r>
    </w:p>
    <w:p w14:paraId="0DF90B0A">
      <w:pPr>
        <w:pStyle w:val="4"/>
        <w:rPr>
          <w:rFonts w:ascii="宋体" w:hAnsi="宋体"/>
          <w:color w:val="000000"/>
          <w:sz w:val="24"/>
          <w:szCs w:val="24"/>
        </w:rPr>
      </w:pPr>
      <w:bookmarkStart w:id="24" w:name="_Toc73427795"/>
      <w:r>
        <w:rPr>
          <w:rFonts w:hint="eastAsia" w:ascii="宋体" w:hAnsi="宋体"/>
          <w:color w:val="000000"/>
          <w:sz w:val="24"/>
          <w:szCs w:val="24"/>
        </w:rPr>
        <w:t>15．投标有效期</w:t>
      </w:r>
      <w:bookmarkEnd w:id="24"/>
    </w:p>
    <w:p w14:paraId="26292877">
      <w:pPr>
        <w:spacing w:line="360" w:lineRule="auto"/>
        <w:ind w:left="1047" w:leftChars="270" w:hanging="480" w:hangingChars="200"/>
        <w:rPr>
          <w:rFonts w:ascii="宋体" w:hAnsi="宋体"/>
          <w:color w:val="000000"/>
          <w:sz w:val="24"/>
          <w:szCs w:val="24"/>
        </w:rPr>
      </w:pPr>
      <w:r>
        <w:rPr>
          <w:rFonts w:hint="eastAsia" w:ascii="宋体" w:hAnsi="宋体"/>
          <w:color w:val="000000"/>
          <w:sz w:val="24"/>
          <w:szCs w:val="24"/>
        </w:rPr>
        <w:t>15.1 根据本章第18条规定，投标应在规定的开标日后的“投标资料表”中所述时期内保持有效。</w:t>
      </w:r>
      <w:r>
        <w:rPr>
          <w:rFonts w:hint="eastAsia" w:ascii="宋体" w:hAnsi="宋体"/>
          <w:b/>
          <w:color w:val="000000"/>
          <w:sz w:val="24"/>
          <w:szCs w:val="24"/>
        </w:rPr>
        <w:t>投标有效期不满足要求的投标将被视为非响应性投标而予以拒绝。</w:t>
      </w:r>
    </w:p>
    <w:p w14:paraId="1402167F">
      <w:pPr>
        <w:spacing w:line="360" w:lineRule="auto"/>
        <w:ind w:left="1047" w:leftChars="270" w:hanging="480" w:hangingChars="200"/>
        <w:rPr>
          <w:rFonts w:ascii="宋体" w:hAnsi="宋体"/>
          <w:color w:val="000000"/>
          <w:sz w:val="24"/>
          <w:szCs w:val="24"/>
        </w:rPr>
      </w:pPr>
      <w:r>
        <w:rPr>
          <w:rFonts w:hint="eastAsia" w:ascii="宋体" w:hAnsi="宋体"/>
          <w:color w:val="000000"/>
          <w:sz w:val="24"/>
          <w:szCs w:val="24"/>
        </w:rPr>
        <w:t>15.2 特殊情况下，在原投标有效期截止之前，招标人可要求投标人同意延长投标有效期。这种要求与答复均应以书面形式提交。投标人可拒绝招标人的这种要求，其投标保证金将不会被没收。接受延长投标有效期的投标人将不会被要求和允许修正其投标，而只会被要求相应地延长其投标保证金的有效期。在这种情况下，本章第14条有关投标保证金的退还和没收的规定将在延长了的有效期内继续有效。</w:t>
      </w:r>
    </w:p>
    <w:p w14:paraId="2F25CF6B">
      <w:pPr>
        <w:pStyle w:val="4"/>
        <w:rPr>
          <w:rFonts w:ascii="宋体" w:hAnsi="宋体"/>
          <w:color w:val="000000"/>
          <w:sz w:val="24"/>
          <w:szCs w:val="24"/>
        </w:rPr>
      </w:pPr>
      <w:bookmarkStart w:id="25" w:name="_Toc73427796"/>
      <w:r>
        <w:rPr>
          <w:rFonts w:hint="eastAsia" w:ascii="宋体" w:hAnsi="宋体"/>
          <w:color w:val="000000"/>
          <w:sz w:val="24"/>
          <w:szCs w:val="24"/>
        </w:rPr>
        <w:t>16．投标文件的式样和签署</w:t>
      </w:r>
      <w:bookmarkEnd w:id="25"/>
    </w:p>
    <w:p w14:paraId="58930812">
      <w:pPr>
        <w:spacing w:line="360" w:lineRule="auto"/>
        <w:ind w:left="1167" w:leftChars="270" w:hanging="600" w:hangingChars="250"/>
        <w:rPr>
          <w:rFonts w:ascii="宋体" w:hAnsi="宋体"/>
          <w:color w:val="000000"/>
          <w:sz w:val="24"/>
          <w:szCs w:val="24"/>
        </w:rPr>
      </w:pPr>
      <w:r>
        <w:rPr>
          <w:rFonts w:hint="eastAsia" w:ascii="宋体" w:hAnsi="宋体"/>
          <w:color w:val="000000"/>
          <w:sz w:val="24"/>
          <w:szCs w:val="24"/>
        </w:rPr>
        <w:t>16.1投标人应准备“投标资料表”中规定数目的投标文件正本、副本及电子版（</w:t>
      </w:r>
      <w:r>
        <w:rPr>
          <w:rFonts w:ascii="宋体" w:hAnsi="宋体"/>
          <w:color w:val="000000"/>
          <w:sz w:val="24"/>
          <w:szCs w:val="24"/>
        </w:rPr>
        <w:t>U盘</w:t>
      </w:r>
      <w:r>
        <w:rPr>
          <w:rFonts w:hint="eastAsia" w:ascii="宋体" w:hAnsi="宋体"/>
          <w:color w:val="000000"/>
          <w:sz w:val="24"/>
          <w:szCs w:val="24"/>
        </w:rPr>
        <w:t>。</w:t>
      </w:r>
      <w:r>
        <w:rPr>
          <w:rFonts w:hint="eastAsia" w:ascii="宋体" w:hAnsi="宋体"/>
          <w:color w:val="000000"/>
          <w:sz w:val="24"/>
        </w:rPr>
        <w:t>内容必须包含Word版可编辑投标文件和经签字盖章后的投标文件正本的扫描件</w:t>
      </w:r>
      <w:r>
        <w:rPr>
          <w:rFonts w:ascii="宋体" w:hAnsi="宋体"/>
          <w:color w:val="000000"/>
          <w:sz w:val="24"/>
          <w:szCs w:val="24"/>
        </w:rPr>
        <w:t>）投标文件，每</w:t>
      </w:r>
      <w:r>
        <w:rPr>
          <w:rFonts w:hint="eastAsia" w:ascii="宋体" w:hAnsi="宋体"/>
          <w:color w:val="000000"/>
          <w:sz w:val="24"/>
          <w:szCs w:val="24"/>
        </w:rPr>
        <w:t>份</w:t>
      </w:r>
      <w:r>
        <w:rPr>
          <w:rFonts w:ascii="宋体" w:hAnsi="宋体"/>
          <w:color w:val="000000"/>
          <w:sz w:val="24"/>
          <w:szCs w:val="24"/>
        </w:rPr>
        <w:t>投标文件须清楚地标明“正本”</w:t>
      </w:r>
      <w:r>
        <w:rPr>
          <w:rFonts w:hint="eastAsia" w:ascii="宋体" w:hAnsi="宋体"/>
          <w:color w:val="000000"/>
          <w:sz w:val="24"/>
          <w:szCs w:val="24"/>
        </w:rPr>
        <w:t>、</w:t>
      </w:r>
      <w:r>
        <w:rPr>
          <w:rFonts w:ascii="宋体" w:hAnsi="宋体"/>
          <w:color w:val="000000"/>
          <w:sz w:val="24"/>
          <w:szCs w:val="24"/>
        </w:rPr>
        <w:t>“副</w:t>
      </w:r>
      <w:r>
        <w:rPr>
          <w:rFonts w:hint="eastAsia" w:ascii="宋体" w:hAnsi="宋体"/>
          <w:color w:val="000000"/>
          <w:sz w:val="24"/>
          <w:szCs w:val="24"/>
        </w:rPr>
        <w:t>本”、“电子版”。若正本和副本不符，以正本为准。</w:t>
      </w:r>
    </w:p>
    <w:p w14:paraId="1BA99054">
      <w:pPr>
        <w:spacing w:line="360" w:lineRule="auto"/>
        <w:ind w:left="1167" w:leftChars="270" w:hanging="600" w:hangingChars="250"/>
        <w:rPr>
          <w:rFonts w:ascii="宋体" w:hAnsi="宋体"/>
          <w:color w:val="000000"/>
          <w:sz w:val="24"/>
          <w:szCs w:val="24"/>
        </w:rPr>
      </w:pPr>
      <w:r>
        <w:rPr>
          <w:rFonts w:hint="eastAsia" w:ascii="宋体" w:hAnsi="宋体"/>
          <w:color w:val="000000"/>
          <w:sz w:val="24"/>
          <w:szCs w:val="24"/>
        </w:rPr>
        <w:t>16.2 投标文件的正本需打印或用不褪色墨水书写，并由投标人或经正式授权并对投标人有约束力的代表在投标文件上签字。授权代表须将以书面形式出具的“附件</w:t>
      </w:r>
      <w:r>
        <w:rPr>
          <w:rFonts w:ascii="宋体" w:hAnsi="宋体"/>
          <w:color w:val="000000"/>
          <w:sz w:val="24"/>
        </w:rPr>
        <w:t>6</w:t>
      </w:r>
      <w:r>
        <w:rPr>
          <w:rFonts w:hint="eastAsia" w:ascii="宋体" w:hAnsi="宋体"/>
          <w:color w:val="000000"/>
          <w:sz w:val="24"/>
        </w:rPr>
        <w:t>-</w:t>
      </w:r>
      <w:r>
        <w:rPr>
          <w:rFonts w:ascii="宋体" w:hAnsi="宋体"/>
          <w:color w:val="000000"/>
          <w:sz w:val="24"/>
        </w:rPr>
        <w:t>3</w:t>
      </w:r>
      <w:r>
        <w:rPr>
          <w:rFonts w:hint="eastAsia" w:ascii="宋体" w:hAnsi="宋体"/>
          <w:color w:val="000000"/>
          <w:sz w:val="24"/>
        </w:rPr>
        <w:t xml:space="preserve"> 法定代表人授权书</w:t>
      </w:r>
      <w:r>
        <w:rPr>
          <w:rFonts w:hint="eastAsia" w:ascii="宋体" w:hAnsi="宋体"/>
          <w:color w:val="000000"/>
          <w:sz w:val="24"/>
          <w:szCs w:val="24"/>
        </w:rPr>
        <w:t>”并附在投标文件中。</w:t>
      </w:r>
      <w:r>
        <w:rPr>
          <w:rFonts w:hint="eastAsia" w:ascii="宋体" w:hAnsi="宋体"/>
          <w:color w:val="000000"/>
          <w:sz w:val="24"/>
        </w:rPr>
        <w:t>投标文件应装订牢固、目录清楚、页码准确，建议双面打印。</w:t>
      </w:r>
      <w:r>
        <w:rPr>
          <w:rFonts w:hint="eastAsia" w:ascii="宋体" w:hAnsi="宋体"/>
          <w:color w:val="000000"/>
          <w:sz w:val="24"/>
          <w:szCs w:val="24"/>
        </w:rPr>
        <w:t>投标文件的副本可采用正本的复印件。</w:t>
      </w:r>
    </w:p>
    <w:p w14:paraId="5312AEAC">
      <w:pPr>
        <w:spacing w:line="360" w:lineRule="auto"/>
        <w:ind w:left="1167" w:leftChars="270" w:hanging="600" w:hangingChars="250"/>
        <w:rPr>
          <w:rFonts w:ascii="宋体" w:hAnsi="宋体"/>
          <w:color w:val="000000"/>
          <w:sz w:val="24"/>
          <w:szCs w:val="24"/>
        </w:rPr>
      </w:pPr>
      <w:r>
        <w:rPr>
          <w:rFonts w:hint="eastAsia" w:ascii="宋体" w:hAnsi="宋体"/>
          <w:color w:val="000000"/>
          <w:sz w:val="24"/>
          <w:szCs w:val="24"/>
        </w:rPr>
        <w:t>16.3 任何行间插字、涂改和增删，必须由投标文件签字人在旁边签字或加盖投标人公章才有效。</w:t>
      </w:r>
    </w:p>
    <w:p w14:paraId="0EC3D341">
      <w:pPr>
        <w:spacing w:before="120" w:line="360" w:lineRule="auto"/>
        <w:ind w:firstLine="480" w:firstLineChars="200"/>
        <w:rPr>
          <w:rFonts w:ascii="宋体" w:hAnsi="宋体"/>
          <w:color w:val="000000"/>
          <w:sz w:val="24"/>
        </w:rPr>
      </w:pPr>
      <w:r>
        <w:rPr>
          <w:rFonts w:hint="eastAsia" w:ascii="宋体" w:hAnsi="宋体"/>
          <w:color w:val="000000"/>
          <w:sz w:val="24"/>
        </w:rPr>
        <w:t>16.4 投标文件因字迹潦草或表达不清所引起的后果由投标人负责。</w:t>
      </w:r>
    </w:p>
    <w:p w14:paraId="098C2521">
      <w:pPr>
        <w:pStyle w:val="3"/>
        <w:rPr>
          <w:rFonts w:ascii="宋体" w:hAnsi="宋体" w:eastAsia="宋体"/>
          <w:color w:val="000000"/>
          <w:sz w:val="24"/>
          <w:szCs w:val="24"/>
        </w:rPr>
      </w:pPr>
      <w:bookmarkStart w:id="26" w:name="_Toc73427797"/>
      <w:r>
        <w:rPr>
          <w:rFonts w:hint="eastAsia" w:ascii="宋体" w:hAnsi="宋体" w:eastAsia="宋体"/>
          <w:color w:val="000000"/>
          <w:sz w:val="24"/>
          <w:szCs w:val="24"/>
        </w:rPr>
        <w:t>四 投标文件的递交</w:t>
      </w:r>
      <w:bookmarkEnd w:id="26"/>
    </w:p>
    <w:p w14:paraId="60792586">
      <w:pPr>
        <w:pStyle w:val="4"/>
        <w:rPr>
          <w:rFonts w:ascii="宋体" w:hAnsi="宋体"/>
          <w:color w:val="000000"/>
          <w:sz w:val="24"/>
          <w:szCs w:val="24"/>
        </w:rPr>
      </w:pPr>
      <w:bookmarkStart w:id="27" w:name="_Toc73427798"/>
      <w:r>
        <w:rPr>
          <w:rFonts w:hint="eastAsia" w:ascii="宋体" w:hAnsi="宋体"/>
          <w:color w:val="000000"/>
          <w:sz w:val="24"/>
          <w:szCs w:val="24"/>
        </w:rPr>
        <w:t>17．投标文件的密封和标记</w:t>
      </w:r>
      <w:bookmarkEnd w:id="27"/>
    </w:p>
    <w:p w14:paraId="22A16AE9">
      <w:pPr>
        <w:spacing w:line="360" w:lineRule="auto"/>
        <w:ind w:left="1287" w:leftChars="270" w:hanging="720" w:hangingChars="300"/>
        <w:rPr>
          <w:rFonts w:ascii="宋体" w:hAnsi="宋体"/>
          <w:color w:val="000000"/>
          <w:sz w:val="24"/>
          <w:szCs w:val="24"/>
        </w:rPr>
      </w:pPr>
      <w:r>
        <w:rPr>
          <w:rFonts w:hint="eastAsia" w:ascii="宋体" w:hAnsi="宋体"/>
          <w:color w:val="000000"/>
          <w:sz w:val="24"/>
          <w:szCs w:val="24"/>
        </w:rPr>
        <w:t>17.1 为方便开标唱标，投标人请将投标一览表单独密封提交、投标保证金（汇款底单复印件或网银支付打印件或支票）单独密封提交，并在信封上注明项目名称、招标编号等，且标示“投标一览表”、“投标保证金”等字样。</w:t>
      </w:r>
    </w:p>
    <w:p w14:paraId="258F2F55">
      <w:pPr>
        <w:spacing w:line="360" w:lineRule="auto"/>
        <w:ind w:left="1287" w:leftChars="270" w:hanging="720" w:hangingChars="300"/>
        <w:rPr>
          <w:rFonts w:ascii="宋体" w:hAnsi="宋体"/>
          <w:color w:val="000000"/>
          <w:sz w:val="24"/>
          <w:szCs w:val="24"/>
        </w:rPr>
      </w:pPr>
      <w:r>
        <w:rPr>
          <w:rFonts w:hint="eastAsia" w:ascii="宋体" w:hAnsi="宋体"/>
          <w:color w:val="000000"/>
          <w:sz w:val="24"/>
          <w:szCs w:val="24"/>
        </w:rPr>
        <w:t>17.2 投标人应将投标文件正本和副本分开密封装在单独的信封中，且在信封上标明“正本”“副本”字样。</w:t>
      </w:r>
      <w:r>
        <w:rPr>
          <w:rFonts w:hint="eastAsia" w:ascii="宋体" w:hAnsi="宋体"/>
          <w:color w:val="000000"/>
          <w:sz w:val="24"/>
        </w:rPr>
        <w:t>电子版投标文件可以单独密封（</w:t>
      </w:r>
      <w:r>
        <w:rPr>
          <w:rFonts w:hint="eastAsia" w:ascii="宋体" w:hAnsi="宋体"/>
          <w:color w:val="000000"/>
          <w:sz w:val="24"/>
          <w:szCs w:val="24"/>
        </w:rPr>
        <w:t>在信封上标明“电子版”字样</w:t>
      </w:r>
      <w:r>
        <w:rPr>
          <w:rFonts w:hint="eastAsia" w:ascii="宋体" w:hAnsi="宋体"/>
          <w:color w:val="000000"/>
          <w:sz w:val="24"/>
        </w:rPr>
        <w:t>），也可以和投标文件正本一起密封。</w:t>
      </w:r>
    </w:p>
    <w:p w14:paraId="01179CAF">
      <w:pPr>
        <w:spacing w:line="360" w:lineRule="auto"/>
        <w:ind w:left="567"/>
        <w:rPr>
          <w:rFonts w:ascii="宋体" w:hAnsi="宋体"/>
          <w:color w:val="000000"/>
          <w:sz w:val="24"/>
          <w:szCs w:val="24"/>
        </w:rPr>
      </w:pPr>
      <w:r>
        <w:rPr>
          <w:rFonts w:hint="eastAsia" w:ascii="宋体" w:hAnsi="宋体"/>
          <w:color w:val="000000"/>
          <w:sz w:val="24"/>
          <w:szCs w:val="24"/>
        </w:rPr>
        <w:t>17.3信封均应：</w:t>
      </w:r>
    </w:p>
    <w:p w14:paraId="01E2A006">
      <w:pPr>
        <w:numPr>
          <w:ilvl w:val="0"/>
          <w:numId w:val="9"/>
        </w:numPr>
        <w:spacing w:line="360" w:lineRule="auto"/>
        <w:rPr>
          <w:rFonts w:ascii="宋体" w:hAnsi="宋体"/>
          <w:color w:val="000000"/>
          <w:sz w:val="24"/>
          <w:szCs w:val="24"/>
        </w:rPr>
      </w:pPr>
      <w:r>
        <w:rPr>
          <w:rFonts w:hint="eastAsia" w:ascii="宋体" w:hAnsi="宋体"/>
          <w:color w:val="000000"/>
          <w:sz w:val="24"/>
          <w:szCs w:val="24"/>
        </w:rPr>
        <w:t>清楚标明递交至“投标资料表”中指明的地址。</w:t>
      </w:r>
    </w:p>
    <w:p w14:paraId="6E21AD5E">
      <w:pPr>
        <w:numPr>
          <w:ilvl w:val="0"/>
          <w:numId w:val="9"/>
        </w:numPr>
        <w:spacing w:line="360" w:lineRule="auto"/>
        <w:rPr>
          <w:rFonts w:ascii="宋体" w:hAnsi="宋体"/>
          <w:color w:val="000000"/>
          <w:sz w:val="24"/>
          <w:szCs w:val="24"/>
        </w:rPr>
      </w:pPr>
      <w:r>
        <w:rPr>
          <w:rFonts w:hint="eastAsia" w:ascii="宋体" w:hAnsi="宋体"/>
          <w:color w:val="000000"/>
          <w:sz w:val="24"/>
          <w:szCs w:val="24"/>
        </w:rPr>
        <w:t>注明项目名称、招标编号和“</w:t>
      </w:r>
      <w:r>
        <w:rPr>
          <w:rFonts w:hint="eastAsia" w:ascii="宋体" w:hAnsi="宋体"/>
          <w:b/>
          <w:color w:val="000000"/>
          <w:sz w:val="24"/>
          <w:szCs w:val="24"/>
        </w:rPr>
        <w:t>在</w:t>
      </w:r>
      <w:r>
        <w:rPr>
          <w:rFonts w:hint="eastAsia" w:ascii="宋体" w:hAnsi="宋体"/>
          <w:b/>
          <w:color w:val="000000"/>
          <w:sz w:val="24"/>
          <w:szCs w:val="24"/>
          <w:u w:val="single"/>
        </w:rPr>
        <w:t>(填入招标文件中指定的具体开标时间)</w:t>
      </w:r>
      <w:r>
        <w:rPr>
          <w:rFonts w:hint="eastAsia" w:ascii="宋体" w:hAnsi="宋体"/>
          <w:b/>
          <w:color w:val="000000"/>
          <w:sz w:val="24"/>
          <w:szCs w:val="24"/>
        </w:rPr>
        <w:t>之前不得启封</w:t>
      </w:r>
      <w:r>
        <w:rPr>
          <w:rFonts w:hint="eastAsia" w:ascii="宋体" w:hAnsi="宋体"/>
          <w:color w:val="000000"/>
          <w:sz w:val="24"/>
          <w:szCs w:val="24"/>
        </w:rPr>
        <w:t>”的字样。</w:t>
      </w:r>
    </w:p>
    <w:p w14:paraId="1D04D46A">
      <w:pPr>
        <w:numPr>
          <w:ilvl w:val="0"/>
          <w:numId w:val="9"/>
        </w:numPr>
        <w:spacing w:line="360" w:lineRule="auto"/>
        <w:rPr>
          <w:rFonts w:ascii="宋体" w:hAnsi="宋体"/>
          <w:color w:val="000000"/>
          <w:sz w:val="24"/>
          <w:szCs w:val="24"/>
        </w:rPr>
      </w:pPr>
      <w:r>
        <w:rPr>
          <w:rFonts w:hint="eastAsia" w:hAnsi="宋体"/>
          <w:color w:val="000000"/>
          <w:sz w:val="24"/>
        </w:rPr>
        <w:t>在信封的封口处密封。</w:t>
      </w:r>
    </w:p>
    <w:p w14:paraId="5D55A8F8">
      <w:pPr>
        <w:spacing w:line="360" w:lineRule="auto"/>
        <w:ind w:left="1131" w:leftChars="269" w:hanging="566" w:hangingChars="236"/>
        <w:rPr>
          <w:rFonts w:ascii="宋体" w:hAnsi="宋体"/>
          <w:color w:val="000000"/>
          <w:sz w:val="24"/>
          <w:szCs w:val="24"/>
        </w:rPr>
      </w:pPr>
      <w:r>
        <w:rPr>
          <w:rFonts w:hint="eastAsia" w:ascii="宋体" w:hAnsi="宋体"/>
          <w:color w:val="000000"/>
          <w:sz w:val="24"/>
          <w:szCs w:val="24"/>
        </w:rPr>
        <w:t>17.4信封应写明投标人名称和地址，以便若其投标被宣布为“迟到”投标时，能原封退回。</w:t>
      </w:r>
    </w:p>
    <w:p w14:paraId="3A40105B">
      <w:pPr>
        <w:spacing w:line="360" w:lineRule="auto"/>
        <w:ind w:left="1131" w:leftChars="269" w:hanging="566" w:hangingChars="236"/>
        <w:rPr>
          <w:rFonts w:ascii="宋体" w:hAnsi="宋体"/>
          <w:color w:val="000000"/>
          <w:sz w:val="24"/>
          <w:szCs w:val="24"/>
        </w:rPr>
      </w:pPr>
      <w:r>
        <w:rPr>
          <w:rFonts w:hint="eastAsia" w:ascii="宋体" w:hAnsi="宋体"/>
          <w:color w:val="000000"/>
          <w:sz w:val="24"/>
          <w:szCs w:val="24"/>
        </w:rPr>
        <w:t>17.5 如果信封未按本章第17.3条要求加写标记和密封，招标人对误投或过早启封概不负责。</w:t>
      </w:r>
    </w:p>
    <w:p w14:paraId="46C039DE">
      <w:pPr>
        <w:pStyle w:val="4"/>
        <w:rPr>
          <w:rFonts w:ascii="宋体" w:hAnsi="宋体"/>
          <w:color w:val="000000"/>
          <w:sz w:val="24"/>
          <w:szCs w:val="24"/>
        </w:rPr>
      </w:pPr>
      <w:bookmarkStart w:id="28" w:name="_Toc73427799"/>
      <w:r>
        <w:rPr>
          <w:rFonts w:hint="eastAsia" w:ascii="宋体" w:hAnsi="宋体"/>
          <w:color w:val="000000"/>
          <w:sz w:val="24"/>
          <w:szCs w:val="24"/>
        </w:rPr>
        <w:t>18．投标截止期</w:t>
      </w:r>
      <w:bookmarkEnd w:id="28"/>
    </w:p>
    <w:p w14:paraId="5778C613">
      <w:pPr>
        <w:spacing w:line="360" w:lineRule="auto"/>
        <w:ind w:left="1131" w:leftChars="269" w:hanging="566" w:hangingChars="236"/>
        <w:rPr>
          <w:rFonts w:ascii="宋体" w:hAnsi="宋体"/>
          <w:color w:val="000000"/>
          <w:sz w:val="24"/>
          <w:szCs w:val="24"/>
        </w:rPr>
      </w:pPr>
      <w:r>
        <w:rPr>
          <w:rFonts w:hint="eastAsia" w:ascii="宋体" w:hAnsi="宋体"/>
          <w:color w:val="000000"/>
          <w:sz w:val="24"/>
          <w:szCs w:val="24"/>
        </w:rPr>
        <w:t>18.1</w:t>
      </w:r>
      <w:r>
        <w:rPr>
          <w:rFonts w:hint="eastAsia" w:ascii="宋体" w:hAnsi="宋体"/>
          <w:color w:val="000000"/>
          <w:sz w:val="24"/>
        </w:rPr>
        <w:t>投标人应在规定的投标截止期前，将投标文件密封送达至招标文件中规定的地址。</w:t>
      </w:r>
      <w:r>
        <w:rPr>
          <w:rFonts w:hint="eastAsia" w:ascii="宋体" w:hAnsi="宋体" w:cs="Arial"/>
          <w:color w:val="000000"/>
          <w:sz w:val="24"/>
        </w:rPr>
        <w:t>招标代理机构收到投标文件后，应当如实记载投标文件的送达时间和密封情况，签收保存。任何单位和个人不得在开标前开启投标文件。逾期送达、未密封或密封不完好的投标文件，招标代理机构应当拒收。</w:t>
      </w:r>
    </w:p>
    <w:p w14:paraId="4F53AB3B">
      <w:pPr>
        <w:spacing w:line="360" w:lineRule="auto"/>
        <w:ind w:left="1131" w:leftChars="269" w:hanging="566" w:hangingChars="236"/>
        <w:rPr>
          <w:rFonts w:ascii="宋体" w:hAnsi="宋体"/>
          <w:color w:val="000000"/>
          <w:sz w:val="24"/>
          <w:szCs w:val="24"/>
        </w:rPr>
      </w:pPr>
      <w:r>
        <w:rPr>
          <w:rFonts w:hint="eastAsia" w:ascii="宋体" w:hAnsi="宋体"/>
          <w:color w:val="000000"/>
          <w:sz w:val="24"/>
          <w:szCs w:val="24"/>
        </w:rPr>
        <w:t>18.2 招标人可因修改招标文件而自行决定酌情延长投标截止期。在此情况下，招标人、招标代理机构和投标人受投标截止期制约的所有权利和义务均应延长至新的截止期。</w:t>
      </w:r>
    </w:p>
    <w:p w14:paraId="57DCD897">
      <w:pPr>
        <w:pStyle w:val="4"/>
        <w:rPr>
          <w:rFonts w:ascii="宋体" w:hAnsi="宋体"/>
          <w:color w:val="000000"/>
          <w:sz w:val="24"/>
          <w:szCs w:val="24"/>
        </w:rPr>
      </w:pPr>
      <w:bookmarkStart w:id="29" w:name="_Toc73427800"/>
      <w:r>
        <w:rPr>
          <w:rFonts w:hint="eastAsia" w:ascii="宋体" w:hAnsi="宋体"/>
          <w:color w:val="000000"/>
          <w:sz w:val="24"/>
          <w:szCs w:val="24"/>
        </w:rPr>
        <w:t>19．迟交的投标文件</w:t>
      </w:r>
      <w:bookmarkEnd w:id="29"/>
    </w:p>
    <w:p w14:paraId="4E6DF0BF">
      <w:pPr>
        <w:spacing w:line="360" w:lineRule="auto"/>
        <w:ind w:left="1050" w:leftChars="500"/>
        <w:rPr>
          <w:rFonts w:ascii="宋体" w:hAnsi="宋体"/>
          <w:color w:val="000000"/>
          <w:sz w:val="24"/>
          <w:szCs w:val="24"/>
        </w:rPr>
      </w:pPr>
      <w:r>
        <w:rPr>
          <w:rFonts w:hint="eastAsia" w:ascii="宋体" w:hAnsi="宋体" w:cs="Arial"/>
          <w:color w:val="000000"/>
          <w:sz w:val="24"/>
        </w:rPr>
        <w:t>招标代理机构</w:t>
      </w:r>
      <w:r>
        <w:rPr>
          <w:rFonts w:hint="eastAsia" w:ascii="宋体" w:hAnsi="宋体"/>
          <w:color w:val="000000"/>
          <w:sz w:val="24"/>
          <w:szCs w:val="24"/>
        </w:rPr>
        <w:t>将拒绝并原封退回在本章第18条规定的截止期后收到的</w:t>
      </w:r>
    </w:p>
    <w:p w14:paraId="6AB9ABB2">
      <w:pPr>
        <w:spacing w:line="360" w:lineRule="auto"/>
        <w:ind w:firstLine="480" w:firstLineChars="200"/>
        <w:rPr>
          <w:rFonts w:ascii="宋体" w:hAnsi="宋体"/>
          <w:color w:val="000000"/>
          <w:sz w:val="24"/>
          <w:szCs w:val="24"/>
        </w:rPr>
      </w:pPr>
      <w:r>
        <w:rPr>
          <w:rFonts w:hint="eastAsia" w:ascii="宋体" w:hAnsi="宋体"/>
          <w:color w:val="000000"/>
          <w:sz w:val="24"/>
          <w:szCs w:val="24"/>
        </w:rPr>
        <w:t>任何投标文件。</w:t>
      </w:r>
    </w:p>
    <w:p w14:paraId="6FFCC379">
      <w:pPr>
        <w:pStyle w:val="4"/>
        <w:rPr>
          <w:rFonts w:ascii="宋体" w:hAnsi="宋体"/>
          <w:color w:val="000000"/>
          <w:sz w:val="24"/>
          <w:szCs w:val="24"/>
        </w:rPr>
      </w:pPr>
      <w:bookmarkStart w:id="30" w:name="_Toc73427801"/>
      <w:r>
        <w:rPr>
          <w:rFonts w:hint="eastAsia" w:ascii="宋体" w:hAnsi="宋体"/>
          <w:color w:val="000000"/>
          <w:sz w:val="24"/>
          <w:szCs w:val="24"/>
        </w:rPr>
        <w:t>20．投标文件的修改与撤回</w:t>
      </w:r>
      <w:bookmarkEnd w:id="30"/>
    </w:p>
    <w:p w14:paraId="4EE3E3CE">
      <w:pPr>
        <w:spacing w:line="360" w:lineRule="auto"/>
        <w:ind w:left="1167" w:leftChars="270" w:hanging="600" w:hangingChars="250"/>
        <w:rPr>
          <w:rFonts w:ascii="宋体" w:hAnsi="宋体"/>
          <w:color w:val="000000"/>
          <w:sz w:val="24"/>
          <w:szCs w:val="24"/>
        </w:rPr>
      </w:pPr>
      <w:r>
        <w:rPr>
          <w:rFonts w:hint="eastAsia" w:ascii="宋体" w:hAnsi="宋体"/>
          <w:color w:val="000000"/>
          <w:sz w:val="24"/>
          <w:szCs w:val="24"/>
        </w:rPr>
        <w:t>20．1</w:t>
      </w:r>
      <w:r>
        <w:rPr>
          <w:rFonts w:hint="eastAsia" w:ascii="宋体" w:hAnsi="宋体"/>
          <w:color w:val="000000"/>
          <w:sz w:val="24"/>
        </w:rPr>
        <w:t>投标人在提交投标文件后，可在投标期截止时间前对其投标文件进行修改、补充或撤回，但必须有修改、补充或撤回的书面通知并由法定代表人或正式授权的投标人代表签字或加盖投标单位公章。</w:t>
      </w:r>
    </w:p>
    <w:p w14:paraId="17A73094">
      <w:pPr>
        <w:spacing w:line="360" w:lineRule="auto"/>
        <w:ind w:left="1167" w:leftChars="270" w:hanging="600" w:hangingChars="250"/>
        <w:rPr>
          <w:rFonts w:ascii="宋体" w:hAnsi="宋体"/>
          <w:color w:val="000000"/>
          <w:sz w:val="24"/>
          <w:szCs w:val="24"/>
        </w:rPr>
      </w:pPr>
      <w:r>
        <w:rPr>
          <w:rFonts w:hint="eastAsia" w:ascii="宋体" w:hAnsi="宋体"/>
          <w:color w:val="000000"/>
          <w:sz w:val="24"/>
          <w:szCs w:val="24"/>
        </w:rPr>
        <w:t>20.2 投标人的修改或撤回通知应按本章第17条规定编制、密封、标记和发送。</w:t>
      </w:r>
    </w:p>
    <w:p w14:paraId="03FF4FF9">
      <w:pPr>
        <w:spacing w:line="360" w:lineRule="auto"/>
        <w:ind w:left="1110" w:leftChars="300" w:hanging="480" w:hangingChars="200"/>
        <w:rPr>
          <w:rFonts w:ascii="宋体" w:hAnsi="宋体"/>
          <w:color w:val="000000"/>
          <w:sz w:val="24"/>
          <w:szCs w:val="24"/>
        </w:rPr>
      </w:pPr>
      <w:r>
        <w:rPr>
          <w:rFonts w:hint="eastAsia" w:ascii="宋体" w:hAnsi="宋体"/>
          <w:color w:val="000000"/>
          <w:sz w:val="24"/>
          <w:szCs w:val="24"/>
        </w:rPr>
        <w:t>20.3 在投标截止期之后，投标人不得对其投标做任何修改</w:t>
      </w:r>
      <w:r>
        <w:rPr>
          <w:rFonts w:hint="eastAsia" w:ascii="宋体" w:hAnsi="宋体"/>
          <w:color w:val="000000"/>
          <w:sz w:val="24"/>
        </w:rPr>
        <w:t>（评标委员会要求的澄清除外）。</w:t>
      </w:r>
    </w:p>
    <w:p w14:paraId="74ABAB64">
      <w:pPr>
        <w:spacing w:line="360" w:lineRule="auto"/>
        <w:ind w:left="1167" w:leftChars="270" w:hanging="600" w:hangingChars="250"/>
        <w:rPr>
          <w:rFonts w:ascii="宋体" w:hAnsi="宋体"/>
          <w:color w:val="000000"/>
          <w:sz w:val="24"/>
          <w:szCs w:val="24"/>
        </w:rPr>
      </w:pPr>
      <w:r>
        <w:rPr>
          <w:rFonts w:hint="eastAsia" w:ascii="宋体" w:hAnsi="宋体"/>
          <w:color w:val="000000"/>
          <w:sz w:val="24"/>
          <w:szCs w:val="24"/>
        </w:rPr>
        <w:t>20.4</w:t>
      </w:r>
      <w:r>
        <w:rPr>
          <w:rFonts w:hint="eastAsia" w:ascii="宋体" w:hAnsi="宋体" w:cs="Arial"/>
          <w:color w:val="000000"/>
          <w:sz w:val="24"/>
        </w:rPr>
        <w:t>投标人在投标截止时间前撤回已提交的投标文件的，招标采购单位应当自收到投标人书面撤回通知之日起5个工作日内，退还已收取的投标保证金，但因投标人自身原因导致无法及时退还的除外</w:t>
      </w:r>
      <w:r>
        <w:rPr>
          <w:rFonts w:hint="eastAsia" w:ascii="宋体" w:hAnsi="宋体"/>
          <w:color w:val="000000"/>
          <w:sz w:val="24"/>
          <w:szCs w:val="24"/>
        </w:rPr>
        <w:t>。</w:t>
      </w:r>
    </w:p>
    <w:p w14:paraId="78DB1469">
      <w:pPr>
        <w:pStyle w:val="3"/>
        <w:rPr>
          <w:rFonts w:ascii="宋体" w:hAnsi="宋体" w:eastAsia="宋体"/>
          <w:color w:val="000000"/>
          <w:sz w:val="24"/>
          <w:szCs w:val="24"/>
        </w:rPr>
      </w:pPr>
      <w:bookmarkStart w:id="31" w:name="_Toc73427802"/>
      <w:r>
        <w:rPr>
          <w:rFonts w:hint="eastAsia" w:ascii="宋体" w:hAnsi="宋体" w:eastAsia="宋体"/>
          <w:color w:val="000000"/>
          <w:sz w:val="24"/>
          <w:szCs w:val="24"/>
        </w:rPr>
        <w:t>五 开标与评标</w:t>
      </w:r>
      <w:bookmarkEnd w:id="31"/>
    </w:p>
    <w:p w14:paraId="07AAEE5E">
      <w:pPr>
        <w:pStyle w:val="4"/>
        <w:rPr>
          <w:rFonts w:ascii="宋体" w:hAnsi="宋体"/>
          <w:color w:val="000000"/>
          <w:sz w:val="24"/>
          <w:szCs w:val="24"/>
        </w:rPr>
      </w:pPr>
      <w:bookmarkStart w:id="32" w:name="_Toc73427803"/>
      <w:r>
        <w:rPr>
          <w:rFonts w:hint="eastAsia" w:ascii="宋体" w:hAnsi="宋体"/>
          <w:color w:val="000000"/>
          <w:sz w:val="24"/>
          <w:szCs w:val="24"/>
        </w:rPr>
        <w:t>21．开标</w:t>
      </w:r>
      <w:bookmarkEnd w:id="32"/>
    </w:p>
    <w:p w14:paraId="4387471E">
      <w:pPr>
        <w:spacing w:line="360" w:lineRule="auto"/>
        <w:ind w:left="1167" w:leftChars="270" w:hanging="600" w:hangingChars="250"/>
        <w:rPr>
          <w:rFonts w:ascii="宋体" w:hAnsi="宋体"/>
          <w:color w:val="000000"/>
          <w:sz w:val="24"/>
          <w:szCs w:val="24"/>
        </w:rPr>
      </w:pPr>
      <w:r>
        <w:rPr>
          <w:rFonts w:hint="eastAsia" w:ascii="宋体" w:hAnsi="宋体"/>
          <w:color w:val="000000"/>
          <w:sz w:val="24"/>
          <w:szCs w:val="24"/>
        </w:rPr>
        <w:t>21.1 招标人在“投标资料表”中规定的投标截止期和开标地点组织公开开标。开标时需有投标人代表参加。参加开标的代表应签名报到以证明其出席。</w:t>
      </w:r>
      <w:r>
        <w:rPr>
          <w:rFonts w:hint="eastAsia" w:ascii="宋体" w:hAnsi="宋体"/>
          <w:color w:val="000000"/>
          <w:sz w:val="24"/>
        </w:rPr>
        <w:t>投标人因故不能派代表出席开标活动，事先应书面（信函、传真）通知招标代理机构，并承诺默认开标结果。</w:t>
      </w:r>
      <w:r>
        <w:rPr>
          <w:rFonts w:hint="eastAsia" w:ascii="宋体" w:hAnsi="宋体" w:cs="宋体"/>
          <w:color w:val="000000"/>
          <w:kern w:val="0"/>
          <w:sz w:val="24"/>
          <w:szCs w:val="24"/>
        </w:rPr>
        <w:t>投标人少于3个的，不得开标，招标人应当重新招标。</w:t>
      </w:r>
    </w:p>
    <w:p w14:paraId="37C021DD">
      <w:pPr>
        <w:spacing w:line="360" w:lineRule="auto"/>
        <w:ind w:left="1167" w:leftChars="270" w:hanging="600" w:hangingChars="250"/>
        <w:rPr>
          <w:rFonts w:ascii="宋体" w:hAnsi="宋体"/>
          <w:color w:val="000000"/>
          <w:sz w:val="24"/>
          <w:szCs w:val="24"/>
        </w:rPr>
      </w:pPr>
      <w:r>
        <w:rPr>
          <w:rFonts w:hint="eastAsia" w:ascii="宋体" w:hAnsi="宋体"/>
          <w:color w:val="000000"/>
          <w:sz w:val="24"/>
          <w:szCs w:val="24"/>
        </w:rPr>
        <w:t>21.2</w:t>
      </w:r>
      <w:r>
        <w:rPr>
          <w:rFonts w:hint="eastAsia" w:ascii="宋体" w:hAnsi="宋体"/>
          <w:color w:val="000000"/>
          <w:sz w:val="24"/>
        </w:rPr>
        <w:t>开标时，由投标人或其推选的代表检查投标文件的密封情况，经确认无误后，由招标代理机构当众宣读投标人名称、投标价格、书面修改和撤回投标的通知（如有）、是否提交了投标保证金等。对于投标人在投标截止期前递交的投标声明，在开标时当众宣读，评标时有效。</w:t>
      </w:r>
    </w:p>
    <w:p w14:paraId="60DFFE90">
      <w:pPr>
        <w:spacing w:line="360" w:lineRule="auto"/>
        <w:ind w:left="1167" w:leftChars="270" w:hanging="600" w:hangingChars="250"/>
        <w:rPr>
          <w:rFonts w:ascii="宋体" w:hAnsi="宋体"/>
          <w:color w:val="000000"/>
          <w:sz w:val="24"/>
          <w:szCs w:val="24"/>
        </w:rPr>
      </w:pPr>
      <w:r>
        <w:rPr>
          <w:rFonts w:hint="eastAsia" w:ascii="宋体" w:hAnsi="宋体"/>
          <w:color w:val="000000"/>
          <w:sz w:val="24"/>
          <w:szCs w:val="24"/>
        </w:rPr>
        <w:t>21.3 在开标时没有启封和读出的投标文件（包括按照本章第20.2条递交的修改书），在评标时将不予考虑。</w:t>
      </w:r>
    </w:p>
    <w:p w14:paraId="0C35CE01">
      <w:pPr>
        <w:spacing w:line="360" w:lineRule="auto"/>
        <w:ind w:left="567"/>
        <w:rPr>
          <w:rFonts w:ascii="宋体" w:hAnsi="宋体"/>
          <w:color w:val="000000"/>
          <w:sz w:val="24"/>
          <w:szCs w:val="24"/>
        </w:rPr>
      </w:pPr>
      <w:r>
        <w:rPr>
          <w:rFonts w:hint="eastAsia" w:ascii="宋体" w:hAnsi="宋体"/>
          <w:color w:val="000000"/>
          <w:sz w:val="24"/>
          <w:szCs w:val="24"/>
        </w:rPr>
        <w:t>21.4 招标人将做开标记录，由投标人代表签字确认。</w:t>
      </w:r>
    </w:p>
    <w:p w14:paraId="072CC13A">
      <w:pPr>
        <w:spacing w:line="360" w:lineRule="auto"/>
        <w:ind w:left="1047" w:leftChars="270" w:hanging="480" w:hangingChars="200"/>
        <w:rPr>
          <w:rFonts w:ascii="宋体" w:hAnsi="宋体"/>
          <w:color w:val="000000"/>
          <w:sz w:val="24"/>
          <w:szCs w:val="24"/>
        </w:rPr>
      </w:pPr>
      <w:r>
        <w:rPr>
          <w:rFonts w:hint="eastAsia" w:ascii="宋体" w:hAnsi="宋体"/>
          <w:color w:val="000000"/>
          <w:sz w:val="24"/>
        </w:rPr>
        <w:t>21.5</w:t>
      </w:r>
      <w:r>
        <w:rPr>
          <w:rFonts w:hint="eastAsia" w:ascii="宋体" w:hAnsi="宋体" w:cs="宋体"/>
          <w:color w:val="000000"/>
          <w:kern w:val="0"/>
          <w:sz w:val="24"/>
          <w:szCs w:val="24"/>
        </w:rPr>
        <w:t>投标人对开标有异议的，应当在开标现场提出，招标人应当当场作出答复，并制作记录。</w:t>
      </w:r>
    </w:p>
    <w:p w14:paraId="5AFD7EC6">
      <w:pPr>
        <w:pStyle w:val="4"/>
        <w:rPr>
          <w:rFonts w:ascii="宋体" w:hAnsi="宋体"/>
          <w:color w:val="000000"/>
          <w:sz w:val="24"/>
          <w:szCs w:val="24"/>
        </w:rPr>
      </w:pPr>
      <w:bookmarkStart w:id="33" w:name="_Toc73427804"/>
      <w:r>
        <w:rPr>
          <w:rFonts w:hint="eastAsia" w:ascii="宋体" w:hAnsi="宋体"/>
          <w:color w:val="000000"/>
          <w:sz w:val="24"/>
          <w:szCs w:val="24"/>
        </w:rPr>
        <w:t>22．投标文件的澄清</w:t>
      </w:r>
      <w:bookmarkEnd w:id="33"/>
    </w:p>
    <w:p w14:paraId="49F54E51">
      <w:pPr>
        <w:spacing w:line="360" w:lineRule="auto"/>
        <w:ind w:left="1047" w:leftChars="270" w:hanging="480" w:hangingChars="200"/>
        <w:rPr>
          <w:rFonts w:ascii="宋体" w:hAnsi="宋体"/>
          <w:color w:val="000000"/>
          <w:sz w:val="24"/>
          <w:szCs w:val="24"/>
        </w:rPr>
      </w:pPr>
      <w:r>
        <w:rPr>
          <w:rFonts w:hint="eastAsia" w:ascii="宋体" w:hAnsi="宋体"/>
          <w:color w:val="000000"/>
          <w:sz w:val="24"/>
          <w:szCs w:val="24"/>
        </w:rPr>
        <w:t>22.1 在评标期间，评标委员会可要求投标人对其投标文件进行澄清，但不得寻求、提供或允许对投标价格等实质性内容做任何更改。有关澄清的要求和答复均应以书面形式提交。</w:t>
      </w:r>
    </w:p>
    <w:p w14:paraId="62CA51D7">
      <w:pPr>
        <w:pStyle w:val="4"/>
        <w:rPr>
          <w:rFonts w:ascii="宋体" w:hAnsi="宋体"/>
          <w:color w:val="000000"/>
          <w:sz w:val="24"/>
          <w:szCs w:val="24"/>
        </w:rPr>
      </w:pPr>
      <w:bookmarkStart w:id="34" w:name="_Toc73427805"/>
      <w:r>
        <w:rPr>
          <w:rFonts w:hint="eastAsia" w:ascii="宋体" w:hAnsi="宋体"/>
          <w:color w:val="000000"/>
          <w:sz w:val="24"/>
          <w:szCs w:val="24"/>
        </w:rPr>
        <w:t>23．评标委员会</w:t>
      </w:r>
      <w:bookmarkEnd w:id="34"/>
    </w:p>
    <w:p w14:paraId="06B28BD6">
      <w:pPr>
        <w:spacing w:line="360" w:lineRule="auto"/>
        <w:ind w:left="1047" w:leftChars="270" w:hanging="480" w:hangingChars="200"/>
        <w:rPr>
          <w:rFonts w:ascii="宋体" w:hAnsi="宋体"/>
          <w:color w:val="000000"/>
          <w:sz w:val="24"/>
          <w:szCs w:val="24"/>
        </w:rPr>
      </w:pPr>
      <w:r>
        <w:rPr>
          <w:rFonts w:hint="eastAsia" w:ascii="宋体" w:hAnsi="宋体"/>
          <w:color w:val="000000"/>
          <w:sz w:val="24"/>
          <w:szCs w:val="24"/>
        </w:rPr>
        <w:t>23.1招标人根据项目的要求组织评标委员会,评标委员会由技术专家、招标人代表组成。评标委员会负责整个项目的评标工作。</w:t>
      </w:r>
    </w:p>
    <w:p w14:paraId="0AAB4558">
      <w:pPr>
        <w:pStyle w:val="4"/>
        <w:rPr>
          <w:rFonts w:ascii="宋体" w:hAnsi="宋体"/>
          <w:color w:val="000000"/>
          <w:sz w:val="24"/>
          <w:szCs w:val="24"/>
        </w:rPr>
      </w:pPr>
      <w:bookmarkStart w:id="35" w:name="_Toc73427806"/>
      <w:r>
        <w:rPr>
          <w:rFonts w:hint="eastAsia" w:ascii="宋体" w:hAnsi="宋体"/>
          <w:color w:val="000000"/>
          <w:sz w:val="24"/>
          <w:szCs w:val="24"/>
        </w:rPr>
        <w:t>24. 投标文件的初审</w:t>
      </w:r>
      <w:bookmarkEnd w:id="35"/>
    </w:p>
    <w:p w14:paraId="67900813">
      <w:pPr>
        <w:spacing w:line="360" w:lineRule="auto"/>
        <w:ind w:left="1167" w:leftChars="270" w:hanging="600" w:hangingChars="250"/>
        <w:rPr>
          <w:rFonts w:ascii="宋体" w:hAnsi="宋体"/>
          <w:color w:val="000000"/>
          <w:sz w:val="24"/>
        </w:rPr>
      </w:pPr>
      <w:r>
        <w:rPr>
          <w:rFonts w:hint="eastAsia" w:ascii="宋体" w:hAnsi="宋体"/>
          <w:color w:val="000000"/>
          <w:sz w:val="24"/>
          <w:szCs w:val="24"/>
        </w:rPr>
        <w:t>24.1</w:t>
      </w:r>
      <w:r>
        <w:rPr>
          <w:rFonts w:hint="eastAsia" w:ascii="宋体" w:hAnsi="宋体"/>
          <w:color w:val="000000"/>
          <w:sz w:val="24"/>
        </w:rPr>
        <w:t>投标文件的初审分为资格性检查和符合性检查。</w:t>
      </w:r>
    </w:p>
    <w:p w14:paraId="1B92A934">
      <w:pPr>
        <w:pStyle w:val="12"/>
        <w:spacing w:line="360" w:lineRule="auto"/>
        <w:ind w:left="1590" w:leftChars="300" w:hanging="960" w:hangingChars="400"/>
        <w:rPr>
          <w:rFonts w:hAnsi="宋体"/>
          <w:color w:val="000000"/>
        </w:rPr>
      </w:pPr>
      <w:r>
        <w:rPr>
          <w:rFonts w:hAnsi="宋体"/>
          <w:color w:val="000000"/>
        </w:rPr>
        <w:t>24</w:t>
      </w:r>
      <w:r>
        <w:rPr>
          <w:rFonts w:hint="eastAsia" w:hAnsi="宋体"/>
          <w:color w:val="000000"/>
        </w:rPr>
        <w:t>.1.1  资格性审查指依据法律、法规和招标文件的规定，由评标委员会在开标后对投标文件中的资格证明、投标保证金等文件进行审查，以确定投标人是否具备投标资格。</w:t>
      </w:r>
      <w:r>
        <w:rPr>
          <w:rFonts w:hint="eastAsia" w:hAnsi="宋体" w:cs="Arial"/>
          <w:color w:val="000000"/>
        </w:rPr>
        <w:t>合格投标人不足3家的，不得评标。</w:t>
      </w:r>
    </w:p>
    <w:p w14:paraId="647203BC">
      <w:pPr>
        <w:spacing w:line="360" w:lineRule="auto"/>
        <w:ind w:left="1167" w:leftChars="270" w:hanging="600" w:hangingChars="250"/>
        <w:rPr>
          <w:rFonts w:ascii="宋体" w:hAnsi="宋体"/>
          <w:color w:val="000000"/>
          <w:sz w:val="24"/>
        </w:rPr>
      </w:pPr>
      <w:r>
        <w:rPr>
          <w:rFonts w:ascii="宋体" w:hAnsi="宋体"/>
          <w:color w:val="000000"/>
          <w:sz w:val="24"/>
        </w:rPr>
        <w:t>24</w:t>
      </w:r>
      <w:r>
        <w:rPr>
          <w:rFonts w:hint="eastAsia" w:ascii="宋体" w:hAnsi="宋体"/>
          <w:color w:val="000000"/>
          <w:sz w:val="24"/>
        </w:rPr>
        <w:t xml:space="preserve">.1.2 </w:t>
      </w:r>
      <w:r>
        <w:rPr>
          <w:rFonts w:hint="eastAsia" w:hAnsi="宋体"/>
          <w:color w:val="000000"/>
        </w:rPr>
        <w:t xml:space="preserve"> </w:t>
      </w:r>
      <w:r>
        <w:rPr>
          <w:rFonts w:hint="eastAsia" w:ascii="宋体" w:hAnsi="宋体"/>
          <w:color w:val="000000"/>
          <w:sz w:val="24"/>
        </w:rPr>
        <w:t>符合性检查是指评标委员会依据招标文件的规定，对符合资格的</w:t>
      </w:r>
    </w:p>
    <w:p w14:paraId="050626F5">
      <w:pPr>
        <w:spacing w:line="360" w:lineRule="auto"/>
        <w:ind w:left="1512" w:leftChars="720"/>
        <w:rPr>
          <w:rFonts w:ascii="宋体" w:hAnsi="宋体"/>
          <w:color w:val="000000"/>
          <w:sz w:val="24"/>
        </w:rPr>
      </w:pPr>
      <w:r>
        <w:rPr>
          <w:rFonts w:hint="eastAsia" w:ascii="宋体" w:hAnsi="宋体"/>
          <w:color w:val="000000"/>
          <w:sz w:val="24"/>
        </w:rPr>
        <w:t>投标人的投标文件进行审查，以确定其是否满足招标文件的实质性要求</w:t>
      </w:r>
      <w:bookmarkStart w:id="36" w:name="_Hlt522424701"/>
      <w:bookmarkEnd w:id="36"/>
      <w:r>
        <w:rPr>
          <w:rFonts w:hint="eastAsia" w:ascii="宋体" w:hAnsi="宋体"/>
          <w:color w:val="000000"/>
          <w:sz w:val="24"/>
        </w:rPr>
        <w:t>。</w:t>
      </w:r>
    </w:p>
    <w:p w14:paraId="58112872">
      <w:pPr>
        <w:spacing w:line="360" w:lineRule="auto"/>
        <w:ind w:left="1047" w:leftChars="270" w:hanging="480" w:hangingChars="200"/>
        <w:rPr>
          <w:rFonts w:ascii="宋体" w:hAnsi="宋体"/>
          <w:color w:val="000000"/>
          <w:sz w:val="24"/>
          <w:szCs w:val="24"/>
        </w:rPr>
      </w:pPr>
      <w:r>
        <w:rPr>
          <w:rFonts w:hint="eastAsia" w:ascii="宋体" w:hAnsi="宋体"/>
          <w:color w:val="000000"/>
          <w:sz w:val="24"/>
          <w:szCs w:val="24"/>
        </w:rPr>
        <w:t>24.2如投标文件存在算术错误，将按以下方法更正：</w:t>
      </w:r>
    </w:p>
    <w:p w14:paraId="25497408">
      <w:pPr>
        <w:spacing w:line="360" w:lineRule="auto"/>
        <w:ind w:firstLine="480" w:firstLineChars="200"/>
        <w:rPr>
          <w:rFonts w:ascii="宋体" w:hAnsi="宋体"/>
          <w:color w:val="000000"/>
          <w:sz w:val="24"/>
        </w:rPr>
      </w:pPr>
      <w:r>
        <w:rPr>
          <w:rFonts w:hint="eastAsia" w:ascii="宋体" w:hAnsi="宋体"/>
          <w:color w:val="000000"/>
          <w:sz w:val="24"/>
        </w:rPr>
        <w:t>（1）开标时，“投标一览表”内容与投标文件中投标分项报价表内容不一</w:t>
      </w:r>
    </w:p>
    <w:p w14:paraId="0DF52FD9">
      <w:pPr>
        <w:spacing w:line="360" w:lineRule="auto"/>
        <w:ind w:firstLine="1080" w:firstLineChars="450"/>
        <w:rPr>
          <w:rFonts w:ascii="宋体" w:hAnsi="宋体"/>
          <w:color w:val="000000"/>
          <w:sz w:val="24"/>
        </w:rPr>
      </w:pPr>
      <w:r>
        <w:rPr>
          <w:rFonts w:hint="eastAsia" w:ascii="宋体" w:hAnsi="宋体"/>
          <w:color w:val="000000"/>
          <w:sz w:val="24"/>
        </w:rPr>
        <w:t>致的，以“投标一览表”为准；</w:t>
      </w:r>
    </w:p>
    <w:p w14:paraId="1239629D">
      <w:pPr>
        <w:spacing w:line="360" w:lineRule="auto"/>
        <w:ind w:firstLine="480" w:firstLineChars="200"/>
        <w:rPr>
          <w:rFonts w:ascii="宋体" w:hAnsi="宋体" w:cs="Arial"/>
          <w:color w:val="000000"/>
          <w:sz w:val="24"/>
        </w:rPr>
      </w:pPr>
      <w:r>
        <w:rPr>
          <w:rFonts w:hint="eastAsia" w:ascii="宋体" w:hAnsi="宋体"/>
          <w:color w:val="000000"/>
          <w:sz w:val="24"/>
        </w:rPr>
        <w:t>（2）</w:t>
      </w:r>
      <w:r>
        <w:rPr>
          <w:rFonts w:hint="eastAsia" w:ascii="宋体" w:hAnsi="宋体" w:cs="Arial"/>
          <w:color w:val="000000"/>
          <w:sz w:val="24"/>
        </w:rPr>
        <w:t>大写金额和小写金额不一致的，以大写金额为准；</w:t>
      </w:r>
    </w:p>
    <w:p w14:paraId="3E88DF27">
      <w:pPr>
        <w:spacing w:line="360" w:lineRule="auto"/>
        <w:ind w:firstLine="480" w:firstLineChars="200"/>
        <w:rPr>
          <w:rFonts w:ascii="宋体" w:hAnsi="宋体" w:cs="Arial"/>
          <w:color w:val="000000"/>
          <w:sz w:val="24"/>
        </w:rPr>
      </w:pPr>
      <w:r>
        <w:rPr>
          <w:rFonts w:hint="eastAsia" w:ascii="宋体" w:hAnsi="宋体" w:cs="Arial"/>
          <w:color w:val="000000"/>
          <w:sz w:val="24"/>
        </w:rPr>
        <w:t>（3）单价金额小数点或者百分比有明显错位的，以开标一览表的总价为准，</w:t>
      </w:r>
    </w:p>
    <w:p w14:paraId="23E5A4E6">
      <w:pPr>
        <w:spacing w:line="360" w:lineRule="auto"/>
        <w:ind w:firstLine="1080" w:firstLineChars="450"/>
        <w:rPr>
          <w:rFonts w:ascii="宋体" w:hAnsi="宋体" w:cs="Arial"/>
          <w:color w:val="000000"/>
          <w:sz w:val="24"/>
        </w:rPr>
      </w:pPr>
      <w:r>
        <w:rPr>
          <w:rFonts w:hint="eastAsia" w:ascii="宋体" w:hAnsi="宋体" w:cs="Arial"/>
          <w:color w:val="000000"/>
          <w:sz w:val="24"/>
        </w:rPr>
        <w:t>并修改单价；</w:t>
      </w:r>
    </w:p>
    <w:p w14:paraId="3BF3DB34">
      <w:pPr>
        <w:spacing w:line="360" w:lineRule="auto"/>
        <w:ind w:firstLine="480" w:firstLineChars="200"/>
        <w:rPr>
          <w:rFonts w:ascii="宋体" w:hAnsi="宋体" w:cs="Arial"/>
          <w:color w:val="000000"/>
          <w:sz w:val="24"/>
        </w:rPr>
      </w:pPr>
      <w:r>
        <w:rPr>
          <w:rFonts w:hint="eastAsia" w:ascii="宋体" w:hAnsi="宋体" w:cs="Arial"/>
          <w:color w:val="000000"/>
          <w:sz w:val="24"/>
        </w:rPr>
        <w:t>（4）总价金额与按单价汇总金额不一致的，以单价金额计算结果为准。同</w:t>
      </w:r>
    </w:p>
    <w:p w14:paraId="152D36F4">
      <w:pPr>
        <w:spacing w:line="360" w:lineRule="auto"/>
        <w:ind w:firstLine="1080" w:firstLineChars="450"/>
        <w:rPr>
          <w:rFonts w:ascii="宋体" w:hAnsi="宋体" w:cs="Arial"/>
          <w:color w:val="000000"/>
          <w:sz w:val="24"/>
        </w:rPr>
      </w:pPr>
      <w:r>
        <w:rPr>
          <w:rFonts w:hint="eastAsia" w:ascii="宋体" w:hAnsi="宋体" w:cs="Arial"/>
          <w:color w:val="000000"/>
          <w:sz w:val="24"/>
        </w:rPr>
        <w:t>时出现两种以上不一致的，按照上述规定的顺序进行修正。修正后的</w:t>
      </w:r>
    </w:p>
    <w:p w14:paraId="02A1F90C">
      <w:pPr>
        <w:spacing w:line="360" w:lineRule="auto"/>
        <w:ind w:firstLine="1080" w:firstLineChars="450"/>
        <w:rPr>
          <w:rFonts w:ascii="宋体" w:hAnsi="宋体" w:cs="Arial"/>
          <w:color w:val="000000"/>
          <w:sz w:val="24"/>
        </w:rPr>
      </w:pPr>
      <w:r>
        <w:rPr>
          <w:rFonts w:hint="eastAsia" w:ascii="宋体" w:hAnsi="宋体" w:cs="Arial"/>
          <w:color w:val="000000"/>
          <w:sz w:val="24"/>
        </w:rPr>
        <w:t>报价按照本章第19.2.1条的规定经投标人确认后产生约束力，投标人</w:t>
      </w:r>
    </w:p>
    <w:p w14:paraId="1ADC0300">
      <w:pPr>
        <w:spacing w:line="360" w:lineRule="auto"/>
        <w:ind w:firstLine="1080" w:firstLineChars="450"/>
        <w:rPr>
          <w:rFonts w:ascii="宋体" w:hAnsi="宋体"/>
          <w:color w:val="000000"/>
          <w:sz w:val="24"/>
          <w:szCs w:val="24"/>
        </w:rPr>
      </w:pPr>
      <w:r>
        <w:rPr>
          <w:rFonts w:hint="eastAsia" w:ascii="宋体" w:hAnsi="宋体" w:cs="Arial"/>
          <w:color w:val="000000"/>
          <w:sz w:val="24"/>
        </w:rPr>
        <w:t>不确认的，其投标无效。</w:t>
      </w:r>
      <w:r>
        <w:rPr>
          <w:rFonts w:ascii="宋体" w:hAnsi="宋体"/>
          <w:color w:val="000000"/>
          <w:sz w:val="24"/>
          <w:szCs w:val="24"/>
        </w:rPr>
        <w:t xml:space="preserve"> </w:t>
      </w:r>
    </w:p>
    <w:p w14:paraId="056BCEFA">
      <w:pPr>
        <w:spacing w:line="360" w:lineRule="auto"/>
        <w:ind w:left="1100" w:leftChars="181" w:hanging="720" w:hangingChars="300"/>
        <w:rPr>
          <w:rFonts w:ascii="宋体" w:hAnsi="宋体"/>
          <w:color w:val="000000"/>
          <w:sz w:val="24"/>
          <w:szCs w:val="24"/>
        </w:rPr>
      </w:pPr>
      <w:r>
        <w:rPr>
          <w:rFonts w:hint="eastAsia" w:ascii="宋体" w:hAnsi="宋体"/>
          <w:color w:val="000000"/>
          <w:sz w:val="24"/>
          <w:szCs w:val="24"/>
        </w:rPr>
        <w:t>24.3 对于投标文件中不构成实质性偏差的不正规、不一致或不规则，评标委员会可以接受，但这种接受不能损害或影响任何投标人的相对排序。</w:t>
      </w:r>
    </w:p>
    <w:p w14:paraId="13F00B3D">
      <w:pPr>
        <w:numPr>
          <w:ilvl w:val="1"/>
          <w:numId w:val="10"/>
        </w:numPr>
        <w:spacing w:line="360" w:lineRule="auto"/>
        <w:ind w:left="1134" w:hanging="567"/>
        <w:rPr>
          <w:rFonts w:ascii="宋体" w:hAnsi="宋体"/>
          <w:color w:val="000000"/>
          <w:sz w:val="24"/>
          <w:szCs w:val="24"/>
        </w:rPr>
      </w:pPr>
      <w:r>
        <w:rPr>
          <w:rFonts w:hint="eastAsia" w:ascii="宋体" w:hAnsi="宋体"/>
          <w:color w:val="000000"/>
          <w:sz w:val="24"/>
          <w:szCs w:val="24"/>
        </w:rPr>
        <w:t>在详细评标之前，根据本章第25条的规定，评标委员会要审查每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招标人决定投标的响应性只根据投标本身的内容，而不寻求外部的证据（信用查询、是否购买招标文件、是否递交了投标保证金等内容除外）。</w:t>
      </w:r>
    </w:p>
    <w:p w14:paraId="7AEBE265">
      <w:pPr>
        <w:numPr>
          <w:ilvl w:val="1"/>
          <w:numId w:val="10"/>
        </w:numPr>
        <w:spacing w:line="360" w:lineRule="auto"/>
        <w:ind w:left="1134" w:hanging="567"/>
        <w:rPr>
          <w:rFonts w:ascii="宋体" w:hAnsi="宋体"/>
          <w:color w:val="000000"/>
          <w:sz w:val="24"/>
          <w:szCs w:val="24"/>
        </w:rPr>
      </w:pPr>
      <w:r>
        <w:rPr>
          <w:rFonts w:hint="eastAsia" w:ascii="宋体" w:hAnsi="宋体"/>
          <w:color w:val="000000"/>
          <w:sz w:val="24"/>
          <w:szCs w:val="24"/>
        </w:rPr>
        <w:t>实质上没有响应招标文件要求的投标将被拒绝。投标人不得通过修正或撤消不合要求的偏离或保留从而使其投标成为实质上响应的投标。如发现下列情况之一的，其投标将被拒绝：</w:t>
      </w:r>
    </w:p>
    <w:p w14:paraId="46594895">
      <w:pPr>
        <w:numPr>
          <w:ilvl w:val="0"/>
          <w:numId w:val="11"/>
        </w:numPr>
        <w:spacing w:line="360" w:lineRule="auto"/>
        <w:rPr>
          <w:rFonts w:ascii="宋体" w:hAnsi="宋体"/>
          <w:color w:val="000000"/>
          <w:sz w:val="24"/>
          <w:szCs w:val="24"/>
        </w:rPr>
      </w:pPr>
      <w:r>
        <w:rPr>
          <w:rFonts w:hint="eastAsia" w:ascii="宋体" w:hAnsi="宋体"/>
          <w:color w:val="000000"/>
          <w:sz w:val="24"/>
          <w:szCs w:val="24"/>
        </w:rPr>
        <w:t>投标人未提交投标保证金或金额不足；</w:t>
      </w:r>
    </w:p>
    <w:p w14:paraId="6A425AC3">
      <w:pPr>
        <w:numPr>
          <w:ilvl w:val="0"/>
          <w:numId w:val="11"/>
        </w:numPr>
        <w:spacing w:line="360" w:lineRule="auto"/>
        <w:rPr>
          <w:rFonts w:ascii="宋体" w:hAnsi="宋体"/>
          <w:color w:val="000000"/>
          <w:sz w:val="24"/>
          <w:szCs w:val="24"/>
        </w:rPr>
      </w:pPr>
      <w:r>
        <w:rPr>
          <w:rFonts w:hint="eastAsia" w:ascii="宋体" w:hAnsi="宋体" w:cs="宋体"/>
          <w:color w:val="000000"/>
          <w:kern w:val="0"/>
          <w:sz w:val="24"/>
          <w:szCs w:val="24"/>
        </w:rPr>
        <w:t>投标报价低于成本或</w:t>
      </w:r>
      <w:r>
        <w:rPr>
          <w:rFonts w:ascii="宋体" w:hAnsi="宋体"/>
          <w:color w:val="000000"/>
          <w:sz w:val="24"/>
          <w:szCs w:val="24"/>
        </w:rPr>
        <w:t>超出本项目估算价</w:t>
      </w:r>
      <w:r>
        <w:rPr>
          <w:rFonts w:hint="eastAsia" w:ascii="宋体" w:hAnsi="宋体"/>
          <w:color w:val="000000"/>
          <w:sz w:val="24"/>
          <w:szCs w:val="24"/>
        </w:rPr>
        <w:t>（</w:t>
      </w:r>
      <w:r>
        <w:rPr>
          <w:rFonts w:hint="eastAsia" w:ascii="宋体" w:hAnsi="宋体" w:cs="宋体"/>
          <w:color w:val="000000"/>
          <w:kern w:val="0"/>
          <w:sz w:val="24"/>
          <w:szCs w:val="24"/>
        </w:rPr>
        <w:t>最高投标限价</w:t>
      </w:r>
      <w:r>
        <w:rPr>
          <w:rFonts w:hint="eastAsia" w:ascii="宋体" w:hAnsi="宋体"/>
          <w:color w:val="000000"/>
          <w:sz w:val="24"/>
          <w:szCs w:val="24"/>
        </w:rPr>
        <w:t>）</w:t>
      </w:r>
      <w:r>
        <w:rPr>
          <w:rFonts w:ascii="宋体" w:hAnsi="宋体"/>
          <w:color w:val="000000"/>
          <w:sz w:val="24"/>
          <w:szCs w:val="24"/>
        </w:rPr>
        <w:t>的</w:t>
      </w:r>
      <w:r>
        <w:rPr>
          <w:rFonts w:hint="eastAsia" w:ascii="宋体" w:hAnsi="宋体"/>
          <w:color w:val="000000"/>
          <w:sz w:val="24"/>
          <w:szCs w:val="24"/>
        </w:rPr>
        <w:t>；</w:t>
      </w:r>
    </w:p>
    <w:p w14:paraId="0EA0D47E">
      <w:pPr>
        <w:numPr>
          <w:ilvl w:val="0"/>
          <w:numId w:val="11"/>
        </w:numPr>
        <w:spacing w:line="360" w:lineRule="auto"/>
        <w:rPr>
          <w:rFonts w:ascii="宋体" w:hAnsi="宋体"/>
          <w:color w:val="000000"/>
          <w:sz w:val="24"/>
          <w:szCs w:val="24"/>
        </w:rPr>
      </w:pPr>
      <w:r>
        <w:rPr>
          <w:rFonts w:hint="eastAsia" w:ascii="宋体" w:hAnsi="宋体"/>
          <w:color w:val="000000"/>
          <w:sz w:val="24"/>
          <w:szCs w:val="24"/>
        </w:rPr>
        <w:t>不满足招标文件对合格投标人要求的；</w:t>
      </w:r>
    </w:p>
    <w:p w14:paraId="4B049D98">
      <w:pPr>
        <w:numPr>
          <w:ilvl w:val="0"/>
          <w:numId w:val="11"/>
        </w:numPr>
        <w:spacing w:line="360" w:lineRule="auto"/>
        <w:rPr>
          <w:rFonts w:ascii="宋体" w:hAnsi="宋体"/>
          <w:color w:val="000000"/>
          <w:sz w:val="24"/>
          <w:szCs w:val="24"/>
        </w:rPr>
      </w:pPr>
      <w:r>
        <w:rPr>
          <w:rFonts w:hint="eastAsia" w:ascii="宋体" w:hAnsi="宋体"/>
          <w:color w:val="000000"/>
          <w:sz w:val="24"/>
          <w:szCs w:val="24"/>
        </w:rPr>
        <w:t>资格证明文件不全或未按要求提供的；</w:t>
      </w:r>
    </w:p>
    <w:p w14:paraId="0B1EB66D">
      <w:pPr>
        <w:numPr>
          <w:ilvl w:val="0"/>
          <w:numId w:val="11"/>
        </w:numPr>
        <w:spacing w:line="360" w:lineRule="auto"/>
        <w:rPr>
          <w:rFonts w:ascii="宋体" w:hAnsi="宋体"/>
          <w:color w:val="000000"/>
          <w:sz w:val="24"/>
          <w:szCs w:val="24"/>
        </w:rPr>
      </w:pPr>
      <w:r>
        <w:rPr>
          <w:rFonts w:hint="eastAsia" w:ascii="宋体" w:hAnsi="宋体"/>
          <w:color w:val="000000"/>
          <w:sz w:val="24"/>
          <w:szCs w:val="24"/>
        </w:rPr>
        <w:t>投标文件无法人代表签字，或签字无法人代表有效委托书的；</w:t>
      </w:r>
    </w:p>
    <w:p w14:paraId="34491DC9">
      <w:pPr>
        <w:numPr>
          <w:ilvl w:val="0"/>
          <w:numId w:val="11"/>
        </w:numPr>
        <w:spacing w:line="360" w:lineRule="auto"/>
        <w:rPr>
          <w:rFonts w:ascii="宋体" w:hAnsi="宋体"/>
          <w:color w:val="000000"/>
          <w:sz w:val="24"/>
          <w:szCs w:val="24"/>
        </w:rPr>
      </w:pPr>
      <w:r>
        <w:rPr>
          <w:rFonts w:hint="eastAsia" w:ascii="宋体" w:hAnsi="宋体"/>
          <w:color w:val="000000"/>
          <w:sz w:val="24"/>
        </w:rPr>
        <w:t>未按照招标文件规定要求签署、盖章的；</w:t>
      </w:r>
    </w:p>
    <w:p w14:paraId="7408659C">
      <w:pPr>
        <w:numPr>
          <w:ilvl w:val="0"/>
          <w:numId w:val="11"/>
        </w:numPr>
        <w:spacing w:line="360" w:lineRule="auto"/>
        <w:rPr>
          <w:rFonts w:ascii="宋体" w:hAnsi="宋体"/>
          <w:color w:val="000000"/>
          <w:sz w:val="24"/>
          <w:szCs w:val="24"/>
        </w:rPr>
      </w:pPr>
      <w:r>
        <w:rPr>
          <w:rFonts w:hint="eastAsia" w:ascii="宋体" w:hAnsi="宋体"/>
          <w:color w:val="000000"/>
          <w:sz w:val="24"/>
          <w:szCs w:val="24"/>
        </w:rPr>
        <w:t>投标有效期不足的；</w:t>
      </w:r>
    </w:p>
    <w:p w14:paraId="012EF75B">
      <w:pPr>
        <w:numPr>
          <w:ilvl w:val="0"/>
          <w:numId w:val="11"/>
        </w:numPr>
        <w:spacing w:line="360" w:lineRule="auto"/>
        <w:rPr>
          <w:rFonts w:ascii="宋体" w:hAnsi="宋体"/>
          <w:color w:val="000000"/>
          <w:sz w:val="24"/>
          <w:szCs w:val="24"/>
        </w:rPr>
      </w:pPr>
      <w:r>
        <w:rPr>
          <w:rFonts w:hint="eastAsia" w:ascii="宋体" w:hAnsi="宋体"/>
          <w:color w:val="000000"/>
          <w:sz w:val="24"/>
          <w:szCs w:val="24"/>
        </w:rPr>
        <w:t>不满足技术规格书中主要参数的；</w:t>
      </w:r>
    </w:p>
    <w:p w14:paraId="01D3FDE8">
      <w:pPr>
        <w:numPr>
          <w:ilvl w:val="0"/>
          <w:numId w:val="11"/>
        </w:numPr>
        <w:spacing w:line="360" w:lineRule="auto"/>
        <w:rPr>
          <w:rFonts w:ascii="宋体" w:hAnsi="宋体"/>
          <w:color w:val="000000"/>
          <w:sz w:val="24"/>
          <w:szCs w:val="24"/>
        </w:rPr>
      </w:pPr>
      <w:r>
        <w:rPr>
          <w:rFonts w:hint="eastAsia" w:ascii="宋体" w:hAnsi="宋体"/>
          <w:color w:val="000000"/>
          <w:sz w:val="24"/>
          <w:szCs w:val="21"/>
        </w:rPr>
        <w:t>投标人串通投标的；</w:t>
      </w:r>
    </w:p>
    <w:p w14:paraId="3CC06854">
      <w:pPr>
        <w:numPr>
          <w:ilvl w:val="0"/>
          <w:numId w:val="11"/>
        </w:numPr>
        <w:spacing w:line="360" w:lineRule="auto"/>
        <w:rPr>
          <w:rFonts w:ascii="宋体" w:hAnsi="宋体"/>
          <w:color w:val="000000"/>
          <w:sz w:val="24"/>
          <w:szCs w:val="24"/>
        </w:rPr>
      </w:pPr>
      <w:r>
        <w:rPr>
          <w:rFonts w:hint="eastAsia" w:ascii="宋体" w:hAnsi="宋体"/>
          <w:color w:val="000000"/>
          <w:sz w:val="24"/>
          <w:szCs w:val="24"/>
        </w:rPr>
        <w:t>不符合法律、法规和招标文件中规定的其它实质性要求的。</w:t>
      </w:r>
    </w:p>
    <w:p w14:paraId="3C6F2296">
      <w:pPr>
        <w:pStyle w:val="38"/>
        <w:spacing w:before="0" w:beforeAutospacing="0" w:after="0" w:afterAutospacing="0" w:line="360" w:lineRule="auto"/>
        <w:ind w:left="420" w:leftChars="200"/>
        <w:rPr>
          <w:rFonts w:ascii="宋体" w:hAnsi="宋体" w:cs="Times New Roman"/>
          <w:color w:val="000000"/>
          <w:kern w:val="2"/>
          <w:sz w:val="24"/>
          <w:szCs w:val="20"/>
        </w:rPr>
      </w:pPr>
      <w:r>
        <w:rPr>
          <w:rFonts w:ascii="宋体" w:hAnsi="宋体"/>
          <w:color w:val="000000"/>
          <w:sz w:val="24"/>
          <w:szCs w:val="24"/>
        </w:rPr>
        <w:t xml:space="preserve"> 24.6 </w:t>
      </w:r>
      <w:r>
        <w:rPr>
          <w:rFonts w:hint="eastAsia" w:ascii="宋体" w:hAnsi="宋体" w:cs="Times New Roman"/>
          <w:color w:val="000000"/>
          <w:kern w:val="2"/>
          <w:sz w:val="24"/>
          <w:szCs w:val="20"/>
        </w:rPr>
        <w:t>有下列情形之一的，属于投标人串通投标：</w:t>
      </w:r>
    </w:p>
    <w:p w14:paraId="0E8EAB56">
      <w:pPr>
        <w:pStyle w:val="38"/>
        <w:spacing w:before="0" w:beforeAutospacing="0" w:after="0" w:afterAutospacing="0" w:line="360" w:lineRule="auto"/>
        <w:ind w:left="420" w:leftChars="200"/>
        <w:rPr>
          <w:rFonts w:ascii="宋体" w:hAnsi="宋体" w:cs="宋体"/>
          <w:color w:val="000000"/>
          <w:sz w:val="24"/>
          <w:szCs w:val="24"/>
        </w:rPr>
      </w:pPr>
      <w:r>
        <w:rPr>
          <w:rFonts w:hint="eastAsia" w:ascii="宋体" w:hAnsi="宋体" w:cs="宋体"/>
          <w:color w:val="000000"/>
          <w:sz w:val="24"/>
          <w:szCs w:val="24"/>
        </w:rPr>
        <w:t>（一）投标人之间协商投标报价等投标文件的实质性内容；</w:t>
      </w:r>
    </w:p>
    <w:p w14:paraId="124FC9BA">
      <w:pPr>
        <w:pStyle w:val="38"/>
        <w:spacing w:before="0" w:beforeAutospacing="0" w:after="0" w:afterAutospacing="0" w:line="360" w:lineRule="auto"/>
        <w:ind w:left="420" w:leftChars="200"/>
        <w:rPr>
          <w:rFonts w:ascii="宋体" w:hAnsi="宋体" w:cs="宋体"/>
          <w:color w:val="000000"/>
          <w:sz w:val="24"/>
          <w:szCs w:val="24"/>
        </w:rPr>
      </w:pPr>
      <w:r>
        <w:rPr>
          <w:rFonts w:hint="eastAsia" w:ascii="宋体" w:hAnsi="宋体" w:cs="宋体"/>
          <w:color w:val="000000"/>
          <w:sz w:val="24"/>
          <w:szCs w:val="24"/>
        </w:rPr>
        <w:t>（二）投标人之间约定中标人；</w:t>
      </w:r>
    </w:p>
    <w:p w14:paraId="19FAA2FD">
      <w:pPr>
        <w:pStyle w:val="38"/>
        <w:spacing w:before="0" w:beforeAutospacing="0" w:after="0" w:afterAutospacing="0" w:line="360" w:lineRule="auto"/>
        <w:ind w:left="420" w:leftChars="200"/>
        <w:rPr>
          <w:rFonts w:ascii="宋体" w:hAnsi="宋体" w:cs="宋体"/>
          <w:color w:val="000000"/>
          <w:sz w:val="24"/>
          <w:szCs w:val="24"/>
        </w:rPr>
      </w:pPr>
      <w:r>
        <w:rPr>
          <w:rFonts w:hint="eastAsia" w:ascii="宋体" w:hAnsi="宋体" w:cs="宋体"/>
          <w:color w:val="000000"/>
          <w:sz w:val="24"/>
          <w:szCs w:val="24"/>
        </w:rPr>
        <w:t>（三）投标人之间约定部分投标人放弃投标或者中标；</w:t>
      </w:r>
    </w:p>
    <w:p w14:paraId="3F4B8326">
      <w:pPr>
        <w:pStyle w:val="38"/>
        <w:spacing w:before="0" w:beforeAutospacing="0" w:after="0" w:afterAutospacing="0" w:line="360" w:lineRule="auto"/>
        <w:ind w:left="420" w:leftChars="200"/>
        <w:rPr>
          <w:rFonts w:ascii="宋体" w:hAnsi="宋体" w:cs="宋体"/>
          <w:color w:val="000000"/>
          <w:sz w:val="24"/>
          <w:szCs w:val="24"/>
        </w:rPr>
      </w:pPr>
      <w:r>
        <w:rPr>
          <w:rFonts w:hint="eastAsia" w:ascii="宋体" w:hAnsi="宋体" w:cs="宋体"/>
          <w:color w:val="000000"/>
          <w:sz w:val="24"/>
          <w:szCs w:val="24"/>
        </w:rPr>
        <w:t>（四）属于同一集团、协会、商会等组织成员的投标人按照该组织要求协同投标；</w:t>
      </w:r>
    </w:p>
    <w:p w14:paraId="4EF32E55">
      <w:pPr>
        <w:pStyle w:val="38"/>
        <w:spacing w:before="0" w:beforeAutospacing="0" w:after="0" w:afterAutospacing="0" w:line="360" w:lineRule="auto"/>
        <w:ind w:left="420" w:leftChars="200"/>
        <w:rPr>
          <w:rFonts w:ascii="宋体" w:hAnsi="宋体" w:cs="宋体"/>
          <w:color w:val="000000"/>
          <w:sz w:val="24"/>
          <w:szCs w:val="24"/>
        </w:rPr>
      </w:pPr>
      <w:r>
        <w:rPr>
          <w:rFonts w:hint="eastAsia" w:ascii="宋体" w:hAnsi="宋体" w:cs="宋体"/>
          <w:color w:val="000000"/>
          <w:sz w:val="24"/>
          <w:szCs w:val="24"/>
        </w:rPr>
        <w:t>（五）投标人之间为谋取中标或者排斥特定投标人而采取的其他联合行动。</w:t>
      </w:r>
    </w:p>
    <w:p w14:paraId="62455170">
      <w:pPr>
        <w:pStyle w:val="38"/>
        <w:spacing w:before="0" w:beforeAutospacing="0" w:after="0" w:afterAutospacing="0" w:line="360" w:lineRule="auto"/>
        <w:ind w:left="420" w:leftChars="200"/>
        <w:rPr>
          <w:rFonts w:ascii="宋体" w:hAnsi="宋体" w:cs="宋体"/>
          <w:color w:val="000000"/>
          <w:sz w:val="24"/>
          <w:szCs w:val="24"/>
        </w:rPr>
      </w:pPr>
      <w:r>
        <w:rPr>
          <w:rFonts w:hint="eastAsia" w:ascii="宋体" w:hAnsi="宋体" w:cs="Times New Roman"/>
          <w:color w:val="000000"/>
          <w:kern w:val="2"/>
          <w:sz w:val="24"/>
          <w:szCs w:val="20"/>
        </w:rPr>
        <w:t>24.7</w:t>
      </w:r>
      <w:r>
        <w:rPr>
          <w:rFonts w:ascii="宋体" w:hAnsi="宋体" w:cs="Times New Roman"/>
          <w:color w:val="000000"/>
          <w:kern w:val="2"/>
          <w:sz w:val="24"/>
          <w:szCs w:val="20"/>
        </w:rPr>
        <w:t xml:space="preserve"> </w:t>
      </w:r>
      <w:r>
        <w:rPr>
          <w:rFonts w:hint="eastAsia" w:ascii="宋体" w:hAnsi="宋体" w:cs="宋体"/>
          <w:color w:val="000000"/>
          <w:sz w:val="24"/>
          <w:szCs w:val="24"/>
        </w:rPr>
        <w:t>有下列情形之一的，视为投标人相互串通投标：</w:t>
      </w:r>
    </w:p>
    <w:p w14:paraId="1852185F">
      <w:pPr>
        <w:pStyle w:val="38"/>
        <w:spacing w:before="0" w:beforeAutospacing="0" w:after="0" w:afterAutospacing="0" w:line="360" w:lineRule="auto"/>
        <w:ind w:left="420" w:leftChars="200"/>
        <w:rPr>
          <w:rFonts w:ascii="宋体" w:hAnsi="宋体" w:cs="宋体"/>
          <w:color w:val="000000"/>
          <w:sz w:val="24"/>
          <w:szCs w:val="24"/>
        </w:rPr>
      </w:pPr>
      <w:r>
        <w:rPr>
          <w:rFonts w:hint="eastAsia" w:ascii="宋体" w:hAnsi="宋体" w:cs="宋体"/>
          <w:color w:val="000000"/>
          <w:sz w:val="24"/>
          <w:szCs w:val="24"/>
        </w:rPr>
        <w:t>（一）不同投标人的投标文件由同一单位或者个人编制；</w:t>
      </w:r>
    </w:p>
    <w:p w14:paraId="207DB075">
      <w:pPr>
        <w:pStyle w:val="38"/>
        <w:spacing w:before="0" w:beforeAutospacing="0" w:after="0" w:afterAutospacing="0" w:line="360" w:lineRule="auto"/>
        <w:ind w:left="420" w:leftChars="200"/>
        <w:rPr>
          <w:rFonts w:ascii="宋体" w:hAnsi="宋体" w:cs="宋体"/>
          <w:color w:val="000000"/>
          <w:sz w:val="24"/>
          <w:szCs w:val="24"/>
        </w:rPr>
      </w:pPr>
      <w:r>
        <w:rPr>
          <w:rFonts w:hint="eastAsia" w:ascii="宋体" w:hAnsi="宋体" w:cs="宋体"/>
          <w:color w:val="000000"/>
          <w:sz w:val="24"/>
          <w:szCs w:val="24"/>
        </w:rPr>
        <w:t>（二）不同投标人委托同一单位或者个人办理投标事宜；</w:t>
      </w:r>
    </w:p>
    <w:p w14:paraId="10E737F9">
      <w:pPr>
        <w:pStyle w:val="38"/>
        <w:spacing w:before="0" w:beforeAutospacing="0" w:after="0" w:afterAutospacing="0" w:line="360" w:lineRule="auto"/>
        <w:ind w:left="420" w:leftChars="200"/>
        <w:rPr>
          <w:rFonts w:ascii="宋体" w:hAnsi="宋体" w:cs="宋体"/>
          <w:color w:val="000000"/>
          <w:sz w:val="24"/>
          <w:szCs w:val="24"/>
        </w:rPr>
      </w:pPr>
      <w:r>
        <w:rPr>
          <w:rFonts w:hint="eastAsia" w:ascii="宋体" w:hAnsi="宋体" w:cs="宋体"/>
          <w:color w:val="000000"/>
          <w:sz w:val="24"/>
          <w:szCs w:val="24"/>
        </w:rPr>
        <w:t>（三）不同投标人的投标文件载明的项目管理成员为同一人；</w:t>
      </w:r>
    </w:p>
    <w:p w14:paraId="115AF92B">
      <w:pPr>
        <w:pStyle w:val="38"/>
        <w:spacing w:before="0" w:beforeAutospacing="0" w:after="0" w:afterAutospacing="0" w:line="360" w:lineRule="auto"/>
        <w:ind w:left="420" w:leftChars="200"/>
        <w:rPr>
          <w:rFonts w:ascii="宋体" w:hAnsi="宋体" w:cs="宋体"/>
          <w:color w:val="000000"/>
          <w:sz w:val="24"/>
          <w:szCs w:val="24"/>
        </w:rPr>
      </w:pPr>
      <w:r>
        <w:rPr>
          <w:rFonts w:hint="eastAsia" w:ascii="宋体" w:hAnsi="宋体" w:cs="宋体"/>
          <w:color w:val="000000"/>
          <w:sz w:val="24"/>
          <w:szCs w:val="24"/>
        </w:rPr>
        <w:t>（四）不同投标人的投标文件异常一致或者投标报价呈规律性差异；</w:t>
      </w:r>
    </w:p>
    <w:p w14:paraId="6A159274">
      <w:pPr>
        <w:pStyle w:val="38"/>
        <w:spacing w:before="0" w:beforeAutospacing="0" w:after="0" w:afterAutospacing="0" w:line="360" w:lineRule="auto"/>
        <w:ind w:left="420" w:leftChars="200"/>
        <w:rPr>
          <w:rFonts w:ascii="宋体" w:hAnsi="宋体" w:cs="宋体"/>
          <w:color w:val="000000"/>
          <w:sz w:val="24"/>
          <w:szCs w:val="24"/>
        </w:rPr>
      </w:pPr>
      <w:r>
        <w:rPr>
          <w:rFonts w:hint="eastAsia" w:ascii="宋体" w:hAnsi="宋体" w:cs="宋体"/>
          <w:color w:val="000000"/>
          <w:sz w:val="24"/>
          <w:szCs w:val="24"/>
        </w:rPr>
        <w:t>（五）不同投标人的投标文件相互混装；</w:t>
      </w:r>
    </w:p>
    <w:p w14:paraId="58A04FF2">
      <w:pPr>
        <w:pStyle w:val="38"/>
        <w:spacing w:before="0" w:beforeAutospacing="0" w:after="0" w:afterAutospacing="0" w:line="360" w:lineRule="auto"/>
        <w:ind w:left="420" w:leftChars="200"/>
        <w:rPr>
          <w:rFonts w:ascii="宋体" w:hAnsi="宋体"/>
          <w:color w:val="000000"/>
          <w:sz w:val="24"/>
        </w:rPr>
      </w:pPr>
      <w:r>
        <w:rPr>
          <w:rFonts w:hint="eastAsia" w:ascii="宋体" w:hAnsi="宋体" w:cs="宋体"/>
          <w:color w:val="000000"/>
          <w:sz w:val="24"/>
          <w:szCs w:val="24"/>
        </w:rPr>
        <w:t>（六）不同投标人的投标保证金从同一单位或者个人的账户转出。</w:t>
      </w:r>
    </w:p>
    <w:p w14:paraId="1927CEA8">
      <w:pPr>
        <w:pStyle w:val="4"/>
        <w:rPr>
          <w:rFonts w:ascii="宋体" w:hAnsi="宋体"/>
          <w:color w:val="000000"/>
          <w:sz w:val="24"/>
          <w:szCs w:val="24"/>
        </w:rPr>
      </w:pPr>
      <w:bookmarkStart w:id="37" w:name="_Toc73427807"/>
      <w:r>
        <w:rPr>
          <w:rFonts w:hint="eastAsia" w:ascii="宋体" w:hAnsi="宋体"/>
          <w:color w:val="000000"/>
          <w:sz w:val="24"/>
          <w:szCs w:val="24"/>
        </w:rPr>
        <w:t>25．投标的评价</w:t>
      </w:r>
      <w:bookmarkEnd w:id="37"/>
    </w:p>
    <w:p w14:paraId="272FD168">
      <w:pPr>
        <w:spacing w:line="360" w:lineRule="auto"/>
        <w:ind w:left="1167" w:leftChars="270" w:hanging="600" w:hangingChars="250"/>
        <w:rPr>
          <w:rFonts w:ascii="宋体" w:hAnsi="宋体"/>
          <w:color w:val="000000"/>
          <w:sz w:val="24"/>
          <w:szCs w:val="24"/>
        </w:rPr>
      </w:pPr>
      <w:r>
        <w:rPr>
          <w:rFonts w:hint="eastAsia" w:ascii="宋体" w:hAnsi="宋体"/>
          <w:color w:val="000000"/>
          <w:sz w:val="24"/>
          <w:szCs w:val="24"/>
        </w:rPr>
        <w:t>25.1 评标委员会将按照本章第24条规定，只对确定为实质上响应招标文件要求的投标进行评价和比较，对投标文件的评价采用综合评分法。</w:t>
      </w:r>
    </w:p>
    <w:p w14:paraId="70815C78">
      <w:pPr>
        <w:spacing w:line="360" w:lineRule="auto"/>
        <w:rPr>
          <w:rFonts w:ascii="宋体" w:hAnsi="宋体"/>
          <w:color w:val="000000"/>
          <w:sz w:val="24"/>
          <w:szCs w:val="24"/>
        </w:rPr>
      </w:pPr>
      <w:r>
        <w:rPr>
          <w:rFonts w:hint="eastAsia" w:ascii="宋体" w:hAnsi="宋体"/>
          <w:color w:val="000000"/>
          <w:sz w:val="24"/>
          <w:szCs w:val="24"/>
        </w:rPr>
        <w:t xml:space="preserve">     25.</w:t>
      </w:r>
      <w:r>
        <w:rPr>
          <w:rFonts w:ascii="宋体" w:hAnsi="宋体"/>
          <w:color w:val="000000"/>
          <w:sz w:val="24"/>
          <w:szCs w:val="24"/>
        </w:rPr>
        <w:t>2</w:t>
      </w:r>
      <w:r>
        <w:rPr>
          <w:rFonts w:hint="eastAsia" w:ascii="宋体" w:hAnsi="宋体"/>
          <w:color w:val="000000"/>
          <w:sz w:val="24"/>
          <w:szCs w:val="24"/>
        </w:rPr>
        <w:t xml:space="preserve"> 最低投标价不是中标唯一条件。</w:t>
      </w:r>
    </w:p>
    <w:p w14:paraId="2DC551B2">
      <w:pPr>
        <w:pStyle w:val="4"/>
        <w:spacing w:after="0"/>
        <w:rPr>
          <w:rFonts w:ascii="宋体" w:hAnsi="宋体"/>
          <w:color w:val="000000"/>
          <w:sz w:val="24"/>
          <w:szCs w:val="24"/>
        </w:rPr>
      </w:pPr>
      <w:bookmarkStart w:id="38" w:name="_Toc73427808"/>
      <w:r>
        <w:rPr>
          <w:rFonts w:hint="eastAsia" w:ascii="宋体" w:hAnsi="宋体"/>
          <w:color w:val="000000"/>
          <w:sz w:val="24"/>
          <w:szCs w:val="24"/>
        </w:rPr>
        <w:t>26．与招标人的接触</w:t>
      </w:r>
      <w:bookmarkEnd w:id="38"/>
    </w:p>
    <w:p w14:paraId="05DBD4F0">
      <w:pPr>
        <w:spacing w:line="360" w:lineRule="auto"/>
        <w:ind w:left="1047" w:leftChars="270" w:hanging="480" w:hangingChars="200"/>
        <w:rPr>
          <w:rFonts w:ascii="宋体" w:hAnsi="宋体"/>
          <w:color w:val="000000"/>
          <w:sz w:val="24"/>
          <w:szCs w:val="24"/>
        </w:rPr>
      </w:pPr>
      <w:r>
        <w:rPr>
          <w:rFonts w:hint="eastAsia" w:ascii="宋体" w:hAnsi="宋体"/>
          <w:color w:val="000000"/>
          <w:sz w:val="24"/>
          <w:szCs w:val="24"/>
        </w:rPr>
        <w:t>26.1除本章第22条的规定外，从开标之日起至授予合同期间，投标人不得就与其投标有关的事项与招标人接触。</w:t>
      </w:r>
    </w:p>
    <w:p w14:paraId="5D84A24C">
      <w:pPr>
        <w:spacing w:line="360" w:lineRule="auto"/>
        <w:ind w:left="1167" w:leftChars="270" w:hanging="600" w:hangingChars="250"/>
        <w:rPr>
          <w:rFonts w:ascii="宋体" w:hAnsi="宋体"/>
          <w:color w:val="000000"/>
          <w:sz w:val="24"/>
          <w:szCs w:val="24"/>
        </w:rPr>
      </w:pPr>
      <w:r>
        <w:rPr>
          <w:rFonts w:hint="eastAsia" w:ascii="宋体" w:hAnsi="宋体"/>
          <w:color w:val="000000"/>
          <w:sz w:val="24"/>
          <w:szCs w:val="24"/>
        </w:rPr>
        <w:t>26.2投标人试图对评标委员会的评标、比较或授予合同的决定进行影响，都可能导致其投标被拒绝。</w:t>
      </w:r>
    </w:p>
    <w:p w14:paraId="445336C5">
      <w:pPr>
        <w:pStyle w:val="3"/>
        <w:spacing w:after="0"/>
        <w:rPr>
          <w:rFonts w:ascii="宋体" w:hAnsi="宋体" w:eastAsia="宋体"/>
          <w:color w:val="000000"/>
          <w:sz w:val="24"/>
          <w:szCs w:val="24"/>
        </w:rPr>
      </w:pPr>
      <w:bookmarkStart w:id="39" w:name="_Toc73427809"/>
      <w:r>
        <w:rPr>
          <w:rFonts w:hint="eastAsia" w:ascii="宋体" w:hAnsi="宋体" w:eastAsia="宋体"/>
          <w:color w:val="000000"/>
          <w:sz w:val="24"/>
          <w:szCs w:val="24"/>
        </w:rPr>
        <w:t>六 授予合同</w:t>
      </w:r>
      <w:bookmarkEnd w:id="39"/>
    </w:p>
    <w:p w14:paraId="4768F264">
      <w:pPr>
        <w:pStyle w:val="4"/>
        <w:rPr>
          <w:rFonts w:ascii="宋体" w:hAnsi="宋体"/>
          <w:color w:val="000000"/>
          <w:sz w:val="24"/>
          <w:szCs w:val="24"/>
        </w:rPr>
      </w:pPr>
      <w:bookmarkStart w:id="40" w:name="_Toc73427810"/>
      <w:r>
        <w:rPr>
          <w:rFonts w:hint="eastAsia" w:ascii="宋体" w:hAnsi="宋体"/>
          <w:color w:val="000000"/>
          <w:sz w:val="24"/>
          <w:szCs w:val="24"/>
        </w:rPr>
        <w:t>2</w:t>
      </w:r>
      <w:r>
        <w:rPr>
          <w:rFonts w:ascii="宋体" w:hAnsi="宋体"/>
          <w:color w:val="000000"/>
          <w:sz w:val="24"/>
          <w:szCs w:val="24"/>
        </w:rPr>
        <w:t>7</w:t>
      </w:r>
      <w:r>
        <w:rPr>
          <w:rFonts w:hint="eastAsia" w:ascii="宋体" w:hAnsi="宋体"/>
          <w:color w:val="000000"/>
          <w:sz w:val="24"/>
          <w:szCs w:val="24"/>
        </w:rPr>
        <w:t>．合同授予标准</w:t>
      </w:r>
      <w:bookmarkEnd w:id="40"/>
    </w:p>
    <w:p w14:paraId="2027C377">
      <w:pPr>
        <w:spacing w:line="360" w:lineRule="auto"/>
        <w:ind w:left="1047" w:leftChars="270" w:hanging="480" w:hanging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7</w:t>
      </w:r>
      <w:r>
        <w:rPr>
          <w:rFonts w:hint="eastAsia" w:ascii="宋体" w:hAnsi="宋体"/>
          <w:color w:val="000000"/>
          <w:sz w:val="24"/>
          <w:szCs w:val="24"/>
        </w:rPr>
        <w:t>.1除第29条的规定之外，招标人将把合同授予被确定为实质上响应招标文件的要求并有履行合同能力的综合评价最高的投标人。</w:t>
      </w:r>
    </w:p>
    <w:p w14:paraId="30827D9B">
      <w:pPr>
        <w:spacing w:before="120" w:line="360" w:lineRule="auto"/>
        <w:ind w:left="1125" w:leftChars="250" w:hanging="600" w:hangingChars="250"/>
        <w:rPr>
          <w:rFonts w:ascii="宋体" w:hAnsi="宋体"/>
          <w:color w:val="000000"/>
          <w:sz w:val="24"/>
        </w:rPr>
      </w:pPr>
      <w:r>
        <w:rPr>
          <w:rFonts w:hint="eastAsia" w:ascii="宋体" w:hAnsi="宋体"/>
          <w:color w:val="000000"/>
          <w:sz w:val="24"/>
        </w:rPr>
        <w:t>2</w:t>
      </w:r>
      <w:r>
        <w:rPr>
          <w:rFonts w:ascii="宋体" w:hAnsi="宋体"/>
          <w:color w:val="000000"/>
          <w:sz w:val="24"/>
        </w:rPr>
        <w:t>7</w:t>
      </w:r>
      <w:r>
        <w:rPr>
          <w:rFonts w:hint="eastAsia" w:ascii="宋体" w:hAnsi="宋体"/>
          <w:color w:val="000000"/>
          <w:sz w:val="24"/>
        </w:rPr>
        <w:t>.2 中标人放弃合同、因不可抗力或者自身原因不能履行采购合同的，招标人有权重新进行公开招标。</w:t>
      </w:r>
    </w:p>
    <w:p w14:paraId="191960D4">
      <w:pPr>
        <w:spacing w:line="360" w:lineRule="auto"/>
        <w:ind w:left="1167" w:leftChars="270" w:hanging="600" w:hangingChars="250"/>
        <w:rPr>
          <w:rFonts w:ascii="宋体" w:hAnsi="宋体"/>
          <w:color w:val="000000"/>
          <w:sz w:val="24"/>
        </w:rPr>
      </w:pPr>
      <w:r>
        <w:rPr>
          <w:rFonts w:hint="eastAsia" w:ascii="宋体" w:hAnsi="宋体"/>
          <w:color w:val="000000"/>
          <w:sz w:val="24"/>
        </w:rPr>
        <w:t>2</w:t>
      </w:r>
      <w:r>
        <w:rPr>
          <w:rFonts w:ascii="宋体" w:hAnsi="宋体"/>
          <w:color w:val="000000"/>
          <w:sz w:val="24"/>
        </w:rPr>
        <w:t>7</w:t>
      </w:r>
      <w:r>
        <w:rPr>
          <w:rFonts w:hint="eastAsia" w:ascii="宋体" w:hAnsi="宋体"/>
          <w:color w:val="000000"/>
          <w:sz w:val="24"/>
        </w:rPr>
        <w:t>.3</w:t>
      </w:r>
      <w:r>
        <w:rPr>
          <w:rFonts w:hint="eastAsia" w:ascii="宋体" w:hAnsi="宋体"/>
          <w:color w:val="000000"/>
          <w:sz w:val="24"/>
        </w:rPr>
        <w:tab/>
      </w:r>
      <w:r>
        <w:rPr>
          <w:rFonts w:hint="eastAsia" w:ascii="宋体" w:hAnsi="宋体"/>
          <w:color w:val="000000"/>
          <w:sz w:val="24"/>
        </w:rPr>
        <w:t>招标人有权根据投标人递交投标文件中的资格证明文件等资料，对投标人的财务、技术和生产能力等进行真实性审查。如果审查中发现虚假问题，招标人将保留追究投标人法律责任的权利。</w:t>
      </w:r>
    </w:p>
    <w:p w14:paraId="7DA45D5C">
      <w:pPr>
        <w:pStyle w:val="22"/>
        <w:spacing w:line="360" w:lineRule="auto"/>
        <w:ind w:left="959" w:leftChars="251" w:hanging="432" w:hangingChars="180"/>
        <w:rPr>
          <w:rFonts w:hAnsi="宋体"/>
          <w:color w:val="000000"/>
          <w:sz w:val="24"/>
        </w:rPr>
      </w:pPr>
      <w:bookmarkStart w:id="41" w:name="_Toc135536492"/>
      <w:bookmarkStart w:id="42" w:name="_Toc134857301"/>
      <w:r>
        <w:rPr>
          <w:rFonts w:hint="eastAsia" w:hAnsi="宋体"/>
          <w:color w:val="000000"/>
          <w:sz w:val="24"/>
        </w:rPr>
        <w:t>2</w:t>
      </w:r>
      <w:r>
        <w:rPr>
          <w:rFonts w:hAnsi="宋体"/>
          <w:color w:val="000000"/>
          <w:sz w:val="24"/>
        </w:rPr>
        <w:t>7</w:t>
      </w:r>
      <w:r>
        <w:rPr>
          <w:rFonts w:hint="eastAsia" w:hAnsi="宋体"/>
          <w:color w:val="000000"/>
          <w:sz w:val="24"/>
        </w:rPr>
        <w:t xml:space="preserve">.4 </w:t>
      </w:r>
      <w:bookmarkEnd w:id="41"/>
      <w:bookmarkEnd w:id="42"/>
      <w:r>
        <w:rPr>
          <w:rFonts w:hint="eastAsia" w:hAnsi="宋体"/>
          <w:color w:val="000000"/>
          <w:sz w:val="24"/>
        </w:rPr>
        <w:t xml:space="preserve"> </w:t>
      </w:r>
      <w:r>
        <w:rPr>
          <w:rFonts w:hAnsi="宋体"/>
          <w:color w:val="000000"/>
          <w:sz w:val="24"/>
        </w:rPr>
        <w:t>在招标采购中，出现下列情形之一的，应予废标：</w:t>
      </w:r>
    </w:p>
    <w:p w14:paraId="259E830B">
      <w:pPr>
        <w:pStyle w:val="22"/>
        <w:spacing w:line="360" w:lineRule="auto"/>
        <w:ind w:left="1439" w:leftChars="251" w:hanging="912" w:hangingChars="380"/>
        <w:rPr>
          <w:rFonts w:hAnsi="宋体"/>
          <w:color w:val="000000"/>
          <w:sz w:val="24"/>
        </w:rPr>
      </w:pPr>
      <w:r>
        <w:rPr>
          <w:rFonts w:hint="eastAsia" w:hAnsi="宋体"/>
          <w:color w:val="000000"/>
          <w:sz w:val="24"/>
        </w:rPr>
        <w:t>2</w:t>
      </w:r>
      <w:r>
        <w:rPr>
          <w:rFonts w:hAnsi="宋体"/>
          <w:color w:val="000000"/>
          <w:sz w:val="24"/>
        </w:rPr>
        <w:t>7</w:t>
      </w:r>
      <w:r>
        <w:rPr>
          <w:rFonts w:hint="eastAsia" w:hAnsi="宋体"/>
          <w:color w:val="000000"/>
          <w:sz w:val="24"/>
        </w:rPr>
        <w:t xml:space="preserve">.4.1 </w:t>
      </w:r>
      <w:r>
        <w:rPr>
          <w:rFonts w:hAnsi="宋体"/>
          <w:color w:val="000000"/>
          <w:sz w:val="24"/>
        </w:rPr>
        <w:t>符合专业条件的</w:t>
      </w:r>
      <w:r>
        <w:rPr>
          <w:rFonts w:hint="eastAsia" w:hAnsi="宋体"/>
          <w:color w:val="000000"/>
          <w:sz w:val="24"/>
        </w:rPr>
        <w:t>投标人</w:t>
      </w:r>
      <w:r>
        <w:rPr>
          <w:rFonts w:hAnsi="宋体"/>
          <w:color w:val="000000"/>
          <w:sz w:val="24"/>
        </w:rPr>
        <w:t>或者对招标文件作实质响应的</w:t>
      </w:r>
      <w:r>
        <w:rPr>
          <w:rFonts w:hint="eastAsia" w:hAnsi="宋体"/>
          <w:color w:val="000000"/>
          <w:sz w:val="24"/>
        </w:rPr>
        <w:t>投标人</w:t>
      </w:r>
      <w:r>
        <w:rPr>
          <w:rFonts w:hAnsi="宋体"/>
          <w:color w:val="000000"/>
          <w:sz w:val="24"/>
        </w:rPr>
        <w:t>不足三家的；</w:t>
      </w:r>
    </w:p>
    <w:p w14:paraId="4D15F0C5">
      <w:pPr>
        <w:pStyle w:val="22"/>
        <w:spacing w:line="360" w:lineRule="auto"/>
        <w:ind w:left="959" w:leftChars="251" w:hanging="432" w:hangingChars="180"/>
        <w:rPr>
          <w:rFonts w:hAnsi="宋体"/>
          <w:color w:val="000000"/>
          <w:sz w:val="24"/>
        </w:rPr>
      </w:pPr>
      <w:r>
        <w:rPr>
          <w:rFonts w:hint="eastAsia" w:hAnsi="宋体"/>
          <w:color w:val="000000"/>
          <w:sz w:val="24"/>
        </w:rPr>
        <w:t>2</w:t>
      </w:r>
      <w:r>
        <w:rPr>
          <w:rFonts w:hAnsi="宋体"/>
          <w:color w:val="000000"/>
          <w:sz w:val="24"/>
        </w:rPr>
        <w:t>7</w:t>
      </w:r>
      <w:r>
        <w:rPr>
          <w:rFonts w:hint="eastAsia" w:hAnsi="宋体"/>
          <w:color w:val="000000"/>
          <w:sz w:val="24"/>
        </w:rPr>
        <w:t xml:space="preserve">.4.2 </w:t>
      </w:r>
      <w:r>
        <w:rPr>
          <w:rFonts w:hAnsi="宋体"/>
          <w:color w:val="000000"/>
          <w:sz w:val="24"/>
        </w:rPr>
        <w:t>出现影响采购公正的违法、违规行为的；</w:t>
      </w:r>
    </w:p>
    <w:p w14:paraId="5DC2A31C">
      <w:pPr>
        <w:pStyle w:val="22"/>
        <w:spacing w:line="360" w:lineRule="auto"/>
        <w:ind w:left="1319" w:leftChars="251" w:hanging="792" w:hangingChars="330"/>
        <w:rPr>
          <w:rFonts w:hAnsi="宋体"/>
          <w:color w:val="000000"/>
          <w:sz w:val="24"/>
        </w:rPr>
      </w:pPr>
      <w:r>
        <w:rPr>
          <w:rFonts w:hint="eastAsia" w:hAnsi="宋体"/>
          <w:color w:val="000000"/>
          <w:sz w:val="24"/>
        </w:rPr>
        <w:t>2</w:t>
      </w:r>
      <w:r>
        <w:rPr>
          <w:rFonts w:hAnsi="宋体"/>
          <w:color w:val="000000"/>
          <w:sz w:val="24"/>
        </w:rPr>
        <w:t>7</w:t>
      </w:r>
      <w:r>
        <w:rPr>
          <w:rFonts w:hint="eastAsia" w:hAnsi="宋体"/>
          <w:color w:val="000000"/>
          <w:sz w:val="24"/>
        </w:rPr>
        <w:t xml:space="preserve">.4.3 </w:t>
      </w:r>
      <w:r>
        <w:rPr>
          <w:rFonts w:hAnsi="宋体"/>
          <w:color w:val="000000"/>
          <w:sz w:val="24"/>
        </w:rPr>
        <w:t>投标人的报价均超过了</w:t>
      </w:r>
      <w:r>
        <w:rPr>
          <w:rFonts w:hint="eastAsia" w:hAnsi="宋体"/>
          <w:color w:val="000000"/>
          <w:sz w:val="24"/>
          <w:szCs w:val="24"/>
        </w:rPr>
        <w:t>项目</w:t>
      </w:r>
      <w:r>
        <w:rPr>
          <w:rFonts w:hAnsi="宋体"/>
          <w:color w:val="000000"/>
          <w:sz w:val="24"/>
          <w:szCs w:val="24"/>
        </w:rPr>
        <w:t>估算价</w:t>
      </w:r>
      <w:r>
        <w:rPr>
          <w:rFonts w:hint="eastAsia" w:hAnsi="宋体"/>
          <w:color w:val="000000"/>
          <w:sz w:val="24"/>
          <w:szCs w:val="24"/>
        </w:rPr>
        <w:t>（</w:t>
      </w:r>
      <w:r>
        <w:rPr>
          <w:rFonts w:hint="eastAsia" w:hAnsi="宋体" w:cs="宋体"/>
          <w:color w:val="000000"/>
          <w:kern w:val="0"/>
          <w:sz w:val="24"/>
          <w:szCs w:val="24"/>
        </w:rPr>
        <w:t>最高投标限价）</w:t>
      </w:r>
      <w:r>
        <w:rPr>
          <w:rFonts w:hAnsi="宋体"/>
          <w:color w:val="000000"/>
          <w:sz w:val="24"/>
        </w:rPr>
        <w:t>，招标人不能支付的；</w:t>
      </w:r>
    </w:p>
    <w:p w14:paraId="0EF85872">
      <w:pPr>
        <w:spacing w:line="360" w:lineRule="auto"/>
        <w:ind w:firstLine="480" w:firstLineChars="200"/>
        <w:rPr>
          <w:rFonts w:hAnsi="宋体"/>
          <w:color w:val="000000"/>
          <w:sz w:val="24"/>
        </w:rPr>
      </w:pPr>
      <w:r>
        <w:rPr>
          <w:rFonts w:hint="eastAsia" w:ascii="宋体" w:hAnsi="宋体"/>
          <w:color w:val="000000"/>
          <w:sz w:val="24"/>
        </w:rPr>
        <w:t>2</w:t>
      </w:r>
      <w:r>
        <w:rPr>
          <w:rFonts w:ascii="宋体" w:hAnsi="宋体"/>
          <w:color w:val="000000"/>
          <w:sz w:val="24"/>
        </w:rPr>
        <w:t>7</w:t>
      </w:r>
      <w:r>
        <w:rPr>
          <w:rFonts w:hint="eastAsia" w:ascii="宋体" w:hAnsi="宋体"/>
          <w:color w:val="000000"/>
          <w:sz w:val="24"/>
        </w:rPr>
        <w:t xml:space="preserve">.4.4 </w:t>
      </w:r>
      <w:r>
        <w:rPr>
          <w:rFonts w:hAnsi="宋体"/>
          <w:color w:val="000000"/>
          <w:sz w:val="24"/>
        </w:rPr>
        <w:t>因重大变故，采购任务取消的。</w:t>
      </w:r>
    </w:p>
    <w:p w14:paraId="6865B6C6">
      <w:pPr>
        <w:pStyle w:val="22"/>
        <w:tabs>
          <w:tab w:val="left" w:pos="851"/>
          <w:tab w:val="left" w:pos="1275"/>
          <w:tab w:val="left" w:pos="1440"/>
          <w:tab w:val="left" w:pos="1620"/>
        </w:tabs>
        <w:spacing w:line="360" w:lineRule="auto"/>
        <w:ind w:firstLine="480" w:firstLineChars="200"/>
        <w:rPr>
          <w:rFonts w:hAnsi="宋体"/>
          <w:color w:val="000000"/>
          <w:sz w:val="24"/>
        </w:rPr>
      </w:pPr>
      <w:r>
        <w:rPr>
          <w:rFonts w:hint="eastAsia" w:hAnsi="宋体"/>
          <w:color w:val="000000"/>
          <w:sz w:val="24"/>
        </w:rPr>
        <w:t>2</w:t>
      </w:r>
      <w:r>
        <w:rPr>
          <w:rFonts w:hAnsi="宋体"/>
          <w:color w:val="000000"/>
          <w:sz w:val="24"/>
        </w:rPr>
        <w:t>7</w:t>
      </w:r>
      <w:r>
        <w:rPr>
          <w:rFonts w:hint="eastAsia" w:hAnsi="宋体"/>
          <w:color w:val="000000"/>
          <w:sz w:val="24"/>
        </w:rPr>
        <w:t>.5  废标后，招标采购单位应将废标理由通知所有投标人。</w:t>
      </w:r>
    </w:p>
    <w:p w14:paraId="2121ADF6">
      <w:pPr>
        <w:pStyle w:val="22"/>
        <w:tabs>
          <w:tab w:val="left" w:pos="851"/>
          <w:tab w:val="left" w:pos="1275"/>
          <w:tab w:val="left" w:pos="1440"/>
          <w:tab w:val="left" w:pos="1620"/>
        </w:tabs>
        <w:spacing w:line="360" w:lineRule="auto"/>
        <w:ind w:left="1153" w:leftChars="206" w:hanging="720" w:hangingChars="300"/>
        <w:rPr>
          <w:rFonts w:hAnsi="宋体"/>
          <w:color w:val="000000"/>
          <w:sz w:val="24"/>
        </w:rPr>
      </w:pPr>
      <w:r>
        <w:rPr>
          <w:rFonts w:hint="eastAsia" w:hAnsi="宋体"/>
          <w:color w:val="000000"/>
          <w:sz w:val="24"/>
        </w:rPr>
        <w:t>2</w:t>
      </w:r>
      <w:r>
        <w:rPr>
          <w:rFonts w:hAnsi="宋体"/>
          <w:color w:val="000000"/>
          <w:sz w:val="24"/>
        </w:rPr>
        <w:t>7</w:t>
      </w:r>
      <w:r>
        <w:rPr>
          <w:rFonts w:hint="eastAsia" w:hAnsi="宋体"/>
          <w:color w:val="000000"/>
          <w:sz w:val="24"/>
        </w:rPr>
        <w:t>.6  评标委员会发现招标文件存在歧义、重大缺陷导致评标工作无法进行，或者招标文件内容违反法律、行政法规、强制性标准，违反公开、公平、公正和诚实信用原则而影响投标结果的，应当停止评标工作，与招标采购单位沟通并作书面记录。招标采购单位确认后，应当修改招标文件后重新招标。</w:t>
      </w:r>
    </w:p>
    <w:p w14:paraId="241B7CA7">
      <w:pPr>
        <w:spacing w:line="360" w:lineRule="auto"/>
        <w:ind w:left="1167" w:leftChars="270" w:hanging="600" w:hangingChars="250"/>
        <w:rPr>
          <w:rFonts w:hAnsi="宋体"/>
          <w:color w:val="000000"/>
          <w:sz w:val="24"/>
        </w:rPr>
      </w:pPr>
      <w:r>
        <w:rPr>
          <w:rFonts w:ascii="宋体" w:hAnsi="宋体"/>
          <w:color w:val="000000"/>
          <w:sz w:val="24"/>
        </w:rPr>
        <w:t>27</w:t>
      </w:r>
      <w:r>
        <w:rPr>
          <w:rFonts w:hint="eastAsia" w:ascii="宋体" w:hAnsi="宋体"/>
          <w:color w:val="000000"/>
          <w:sz w:val="24"/>
        </w:rPr>
        <w:t>.</w:t>
      </w:r>
      <w:r>
        <w:rPr>
          <w:rFonts w:ascii="宋体" w:hAnsi="宋体"/>
          <w:color w:val="000000"/>
          <w:sz w:val="24"/>
        </w:rPr>
        <w:t>7</w:t>
      </w:r>
      <w:r>
        <w:rPr>
          <w:rFonts w:hint="eastAsia" w:ascii="宋体" w:hAnsi="宋体"/>
          <w:color w:val="000000"/>
          <w:sz w:val="24"/>
        </w:rPr>
        <w:t xml:space="preserve"> </w:t>
      </w:r>
      <w:r>
        <w:rPr>
          <w:rFonts w:hint="eastAsia" w:hAnsi="宋体"/>
          <w:color w:val="000000"/>
          <w:sz w:val="24"/>
        </w:rPr>
        <w:t>招标人</w:t>
      </w:r>
      <w:r>
        <w:rPr>
          <w:rFonts w:hint="eastAsia" w:ascii="宋体" w:hAnsi="宋体" w:cs="宋体"/>
          <w:color w:val="000000"/>
          <w:kern w:val="0"/>
          <w:sz w:val="24"/>
          <w:szCs w:val="24"/>
        </w:rPr>
        <w:t>终止招标的，应当及时发布公告，或者以书面形式通知被邀请的或者已经获取招标文件的潜在投标人。已经发售招标文件或者已经收取投标保证金的，招标代理机构应当及时退还所收取的招标文件的费用，以及所收取的投标保证金。</w:t>
      </w:r>
    </w:p>
    <w:p w14:paraId="4D89D4AE">
      <w:pPr>
        <w:spacing w:line="360" w:lineRule="auto"/>
        <w:ind w:firstLine="482" w:firstLineChars="200"/>
        <w:rPr>
          <w:rFonts w:hAnsi="宋体"/>
          <w:b/>
          <w:color w:val="000000"/>
          <w:sz w:val="24"/>
        </w:rPr>
      </w:pPr>
      <w:r>
        <w:rPr>
          <w:rFonts w:hint="eastAsia" w:ascii="宋体" w:hAnsi="宋体"/>
          <w:b/>
          <w:color w:val="000000"/>
          <w:sz w:val="24"/>
        </w:rPr>
        <w:t>2</w:t>
      </w:r>
      <w:r>
        <w:rPr>
          <w:rFonts w:ascii="宋体" w:hAnsi="宋体"/>
          <w:b/>
          <w:color w:val="000000"/>
          <w:sz w:val="24"/>
        </w:rPr>
        <w:t>8</w:t>
      </w:r>
      <w:r>
        <w:rPr>
          <w:rFonts w:hint="eastAsia" w:ascii="宋体" w:hAnsi="宋体"/>
          <w:b/>
          <w:color w:val="000000"/>
          <w:sz w:val="24"/>
        </w:rPr>
        <w:t>.</w:t>
      </w:r>
      <w:r>
        <w:rPr>
          <w:rFonts w:hint="eastAsia" w:hAnsi="宋体"/>
          <w:b/>
          <w:color w:val="000000"/>
          <w:sz w:val="24"/>
        </w:rPr>
        <w:t>确定中标人：</w:t>
      </w:r>
    </w:p>
    <w:p w14:paraId="3BB0F206">
      <w:pPr>
        <w:spacing w:before="120" w:line="360" w:lineRule="auto"/>
        <w:ind w:left="1140" w:leftChars="200" w:hanging="720" w:hangingChars="300"/>
        <w:rPr>
          <w:rFonts w:ascii="宋体" w:hAnsi="宋体" w:cs="Arial"/>
          <w:color w:val="000000"/>
          <w:sz w:val="24"/>
        </w:rPr>
      </w:pPr>
      <w:r>
        <w:rPr>
          <w:rFonts w:hint="eastAsia" w:ascii="宋体" w:hAnsi="宋体" w:cs="Arial"/>
          <w:color w:val="000000"/>
          <w:sz w:val="24"/>
        </w:rPr>
        <w:t>2</w:t>
      </w:r>
      <w:r>
        <w:rPr>
          <w:rFonts w:ascii="宋体" w:hAnsi="宋体" w:cs="Arial"/>
          <w:color w:val="000000"/>
          <w:sz w:val="24"/>
        </w:rPr>
        <w:t xml:space="preserve">8.1  </w:t>
      </w:r>
      <w:r>
        <w:rPr>
          <w:rFonts w:hint="eastAsia" w:ascii="宋体" w:hAnsi="宋体" w:cs="Arial"/>
          <w:color w:val="000000"/>
          <w:sz w:val="24"/>
        </w:rPr>
        <w:t>招标代理机构应当在评标结束后2个工作日内将评标报告送招标人，招标人应当在评标报告确定的中标候选人名单中按顺序确定中标人</w:t>
      </w:r>
      <w:r>
        <w:rPr>
          <w:rFonts w:hint="eastAsia" w:ascii="宋体" w:hAnsi="宋体"/>
          <w:color w:val="000000"/>
          <w:sz w:val="24"/>
        </w:rPr>
        <w:t>。出现第一</w:t>
      </w:r>
      <w:r>
        <w:rPr>
          <w:rFonts w:hint="eastAsia" w:ascii="宋体" w:hAnsi="宋体" w:cs="Arial"/>
          <w:color w:val="000000"/>
          <w:sz w:val="24"/>
        </w:rPr>
        <w:t>中标候选人并列的情形，以技术部分得分高的投标人为中标人；技术部分得分相同的，由招标人采取随机抽取的方式确定中标人。</w:t>
      </w:r>
    </w:p>
    <w:p w14:paraId="0E41AFB7">
      <w:pPr>
        <w:spacing w:before="120" w:line="360" w:lineRule="auto"/>
        <w:ind w:left="1140" w:leftChars="200" w:hanging="720" w:hangingChars="300"/>
        <w:rPr>
          <w:rFonts w:ascii="宋体" w:hAnsi="宋体"/>
          <w:color w:val="000000"/>
          <w:sz w:val="24"/>
        </w:rPr>
      </w:pPr>
      <w:r>
        <w:rPr>
          <w:rFonts w:hint="eastAsia" w:ascii="宋体" w:hAnsi="宋体"/>
          <w:color w:val="000000"/>
          <w:sz w:val="24"/>
        </w:rPr>
        <w:t>2</w:t>
      </w:r>
      <w:r>
        <w:rPr>
          <w:rFonts w:ascii="宋体" w:hAnsi="宋体"/>
          <w:color w:val="000000"/>
          <w:sz w:val="24"/>
        </w:rPr>
        <w:t>9</w:t>
      </w:r>
      <w:r>
        <w:rPr>
          <w:rFonts w:hint="eastAsia" w:ascii="宋体" w:hAnsi="宋体"/>
          <w:color w:val="000000"/>
          <w:sz w:val="24"/>
        </w:rPr>
        <w:t>.2  中标人</w:t>
      </w:r>
      <w:r>
        <w:rPr>
          <w:rFonts w:hint="eastAsia" w:ascii="宋体" w:hAnsi="宋体" w:cs="宋体"/>
          <w:color w:val="000000"/>
          <w:kern w:val="0"/>
          <w:sz w:val="24"/>
          <w:szCs w:val="24"/>
        </w:rPr>
        <w:t>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08FEC9AA">
      <w:pPr>
        <w:spacing w:line="360" w:lineRule="auto"/>
        <w:ind w:left="1140" w:leftChars="200" w:hanging="720" w:hangingChars="300"/>
        <w:rPr>
          <w:rFonts w:ascii="宋体" w:hAnsi="宋体"/>
          <w:color w:val="000000"/>
          <w:sz w:val="24"/>
          <w:szCs w:val="24"/>
        </w:rPr>
      </w:pPr>
      <w:r>
        <w:rPr>
          <w:rFonts w:hint="eastAsia" w:ascii="宋体" w:hAnsi="宋体"/>
          <w:color w:val="000000"/>
          <w:sz w:val="24"/>
        </w:rPr>
        <w:t>2</w:t>
      </w:r>
      <w:r>
        <w:rPr>
          <w:rFonts w:ascii="宋体" w:hAnsi="宋体"/>
          <w:color w:val="000000"/>
          <w:sz w:val="24"/>
        </w:rPr>
        <w:t>9</w:t>
      </w:r>
      <w:r>
        <w:rPr>
          <w:rFonts w:hint="eastAsia" w:ascii="宋体" w:hAnsi="宋体"/>
          <w:color w:val="000000"/>
          <w:sz w:val="24"/>
        </w:rPr>
        <w:t>.3</w:t>
      </w:r>
      <w:r>
        <w:rPr>
          <w:rFonts w:ascii="宋体" w:hAnsi="宋体"/>
          <w:color w:val="000000"/>
          <w:sz w:val="24"/>
        </w:rPr>
        <w:t xml:space="preserve"> </w:t>
      </w:r>
      <w:r>
        <w:rPr>
          <w:rFonts w:hint="eastAsia" w:ascii="宋体" w:hAnsi="宋体"/>
          <w:color w:val="000000"/>
          <w:sz w:val="24"/>
        </w:rPr>
        <w:t>招标人有权根据投标人递交投标文件中的资格证明文件等资料，对投标人的财务、技术和生产能力等进行真实性审查。如果审查中发现虚假问题，招标人将保留追究投标人法律责任的权利。</w:t>
      </w:r>
    </w:p>
    <w:p w14:paraId="318B2B7E">
      <w:pPr>
        <w:pStyle w:val="4"/>
        <w:rPr>
          <w:rFonts w:ascii="宋体" w:hAnsi="宋体"/>
          <w:color w:val="000000"/>
          <w:sz w:val="24"/>
          <w:szCs w:val="24"/>
        </w:rPr>
      </w:pPr>
      <w:bookmarkStart w:id="43" w:name="_Toc73427813"/>
      <w:r>
        <w:rPr>
          <w:rFonts w:ascii="宋体" w:hAnsi="宋体"/>
          <w:color w:val="000000"/>
          <w:sz w:val="24"/>
          <w:szCs w:val="24"/>
        </w:rPr>
        <w:t>30</w:t>
      </w:r>
      <w:r>
        <w:rPr>
          <w:rFonts w:hint="eastAsia" w:ascii="宋体" w:hAnsi="宋体"/>
          <w:color w:val="000000"/>
          <w:sz w:val="24"/>
          <w:szCs w:val="24"/>
        </w:rPr>
        <w:t>．中标通知书</w:t>
      </w:r>
      <w:bookmarkEnd w:id="43"/>
    </w:p>
    <w:p w14:paraId="4310451C">
      <w:pPr>
        <w:spacing w:line="360" w:lineRule="auto"/>
        <w:ind w:left="540"/>
        <w:rPr>
          <w:rFonts w:ascii="宋体" w:hAnsi="宋体"/>
          <w:color w:val="000000"/>
          <w:sz w:val="24"/>
          <w:szCs w:val="24"/>
        </w:rPr>
      </w:pPr>
      <w:r>
        <w:rPr>
          <w:rFonts w:hint="eastAsia" w:ascii="宋体" w:hAnsi="宋体"/>
          <w:color w:val="000000"/>
          <w:sz w:val="24"/>
          <w:szCs w:val="24"/>
        </w:rPr>
        <w:t>30.1中标人确定后，招标代理机构将向中标人发出中标通知书。</w:t>
      </w:r>
    </w:p>
    <w:p w14:paraId="62380FD2">
      <w:pPr>
        <w:spacing w:line="360" w:lineRule="auto"/>
        <w:ind w:left="567"/>
        <w:rPr>
          <w:rFonts w:ascii="宋体" w:hAnsi="宋体"/>
          <w:color w:val="000000"/>
          <w:sz w:val="24"/>
          <w:szCs w:val="24"/>
        </w:rPr>
      </w:pPr>
      <w:r>
        <w:rPr>
          <w:rFonts w:hint="eastAsia" w:ascii="宋体" w:hAnsi="宋体"/>
          <w:color w:val="000000"/>
          <w:sz w:val="24"/>
          <w:szCs w:val="24"/>
        </w:rPr>
        <w:t>30.2中标通知书是合同的一个组成部分，对招标人和中标人具有同等法律效力。</w:t>
      </w:r>
    </w:p>
    <w:p w14:paraId="1BC3E487">
      <w:pPr>
        <w:pStyle w:val="4"/>
        <w:rPr>
          <w:rFonts w:ascii="宋体" w:hAnsi="宋体"/>
          <w:color w:val="000000"/>
          <w:sz w:val="24"/>
          <w:szCs w:val="24"/>
        </w:rPr>
      </w:pPr>
      <w:bookmarkStart w:id="44" w:name="_Toc73427814"/>
      <w:r>
        <w:rPr>
          <w:rFonts w:ascii="宋体" w:hAnsi="宋体"/>
          <w:color w:val="000000"/>
          <w:sz w:val="24"/>
          <w:szCs w:val="24"/>
        </w:rPr>
        <w:t>31</w:t>
      </w:r>
      <w:r>
        <w:rPr>
          <w:rFonts w:hint="eastAsia" w:ascii="宋体" w:hAnsi="宋体"/>
          <w:color w:val="000000"/>
          <w:sz w:val="24"/>
          <w:szCs w:val="24"/>
        </w:rPr>
        <w:t>．签订合同</w:t>
      </w:r>
      <w:bookmarkEnd w:id="44"/>
    </w:p>
    <w:p w14:paraId="4522BE79">
      <w:pPr>
        <w:spacing w:line="360" w:lineRule="auto"/>
        <w:ind w:left="1167" w:leftChars="270" w:hanging="600" w:hangingChars="250"/>
        <w:rPr>
          <w:rFonts w:ascii="宋体" w:hAnsi="宋体"/>
          <w:color w:val="000000"/>
          <w:sz w:val="24"/>
          <w:szCs w:val="24"/>
        </w:rPr>
      </w:pPr>
      <w:r>
        <w:rPr>
          <w:rFonts w:hint="eastAsia" w:ascii="宋体" w:hAnsi="宋体"/>
          <w:color w:val="000000"/>
          <w:sz w:val="24"/>
          <w:szCs w:val="24"/>
        </w:rPr>
        <w:t>31.1招标人</w:t>
      </w:r>
      <w:r>
        <w:rPr>
          <w:rFonts w:ascii="宋体" w:hAnsi="宋体"/>
          <w:color w:val="000000"/>
          <w:sz w:val="24"/>
          <w:szCs w:val="24"/>
        </w:rPr>
        <w:t>和中标人应当自中标通知书发出之日起三十日内，按照招标文件和中标人的投标文件订立书面合同。</w:t>
      </w:r>
      <w:r>
        <w:rPr>
          <w:rFonts w:hint="eastAsia" w:ascii="宋体" w:hAnsi="宋体"/>
          <w:color w:val="000000"/>
          <w:sz w:val="24"/>
          <w:szCs w:val="24"/>
        </w:rPr>
        <w:t>招标人</w:t>
      </w:r>
      <w:r>
        <w:rPr>
          <w:rFonts w:ascii="宋体" w:hAnsi="宋体"/>
          <w:color w:val="000000"/>
          <w:sz w:val="24"/>
          <w:szCs w:val="24"/>
        </w:rPr>
        <w:t>和中标人不得再行订立背离合同实质性内容的其他协议。</w:t>
      </w:r>
    </w:p>
    <w:p w14:paraId="60F200F8">
      <w:pPr>
        <w:spacing w:line="360" w:lineRule="auto"/>
        <w:ind w:left="1167" w:leftChars="270" w:hanging="600" w:hangingChars="250"/>
        <w:rPr>
          <w:rFonts w:ascii="宋体" w:hAnsi="宋体" w:cs="Arial"/>
          <w:color w:val="000000"/>
          <w:sz w:val="24"/>
        </w:rPr>
      </w:pPr>
      <w:r>
        <w:rPr>
          <w:rFonts w:hint="eastAsia" w:ascii="宋体" w:hAnsi="宋体"/>
          <w:color w:val="000000"/>
          <w:sz w:val="24"/>
          <w:szCs w:val="24"/>
        </w:rPr>
        <w:t>31.2</w:t>
      </w:r>
      <w:r>
        <w:rPr>
          <w:rFonts w:hint="eastAsia" w:ascii="宋体" w:hAnsi="宋体" w:cs="宋体"/>
          <w:color w:val="000000"/>
          <w:kern w:val="0"/>
          <w:sz w:val="24"/>
          <w:szCs w:val="24"/>
        </w:rPr>
        <w:t>中标人无正当理由不与招标人订立合同，在签订合同时向招标人提出附加条件，或者不按照招标文件要求提交履约保证金的，取消其中标资格，投标保证金不予退还</w:t>
      </w:r>
    </w:p>
    <w:p w14:paraId="3F1C2234">
      <w:pPr>
        <w:spacing w:line="360" w:lineRule="auto"/>
        <w:ind w:left="1167" w:leftChars="270" w:hanging="600" w:hangingChars="250"/>
        <w:rPr>
          <w:rFonts w:ascii="宋体" w:hAnsi="宋体"/>
          <w:b/>
          <w:color w:val="000000"/>
          <w:sz w:val="24"/>
        </w:rPr>
      </w:pPr>
      <w:r>
        <w:rPr>
          <w:rFonts w:hint="eastAsia" w:ascii="宋体" w:hAnsi="宋体" w:cs="Arial"/>
          <w:color w:val="000000"/>
          <w:sz w:val="24"/>
        </w:rPr>
        <w:t>31.2</w:t>
      </w:r>
      <w:r>
        <w:rPr>
          <w:rFonts w:hint="eastAsia" w:ascii="宋体" w:hAnsi="宋体"/>
          <w:b/>
          <w:color w:val="000000"/>
          <w:sz w:val="24"/>
        </w:rPr>
        <w:t>中标人在合同签订后2</w:t>
      </w:r>
      <w:r>
        <w:rPr>
          <w:rFonts w:ascii="宋体" w:hAnsi="宋体"/>
          <w:b/>
          <w:color w:val="000000"/>
          <w:sz w:val="24"/>
        </w:rPr>
        <w:t>日内，请将合同扫描件发送到bjmdzx@vip.163.com邮箱中</w:t>
      </w:r>
      <w:r>
        <w:rPr>
          <w:rFonts w:hint="eastAsia" w:ascii="宋体" w:hAnsi="宋体"/>
          <w:b/>
          <w:color w:val="000000"/>
          <w:sz w:val="24"/>
        </w:rPr>
        <w:t>（邮件主题：招标编号+退还投标保证金+供应商名称+已签订采购合同。内附：采购合同扫描件），</w:t>
      </w:r>
      <w:r>
        <w:rPr>
          <w:rFonts w:ascii="宋体" w:hAnsi="宋体"/>
          <w:b/>
          <w:color w:val="000000"/>
          <w:sz w:val="24"/>
        </w:rPr>
        <w:t>办理相关投标保证金退还手续，投标保证金将在合同签订的5日内退回来款账户。</w:t>
      </w:r>
    </w:p>
    <w:p w14:paraId="35590540">
      <w:pPr>
        <w:spacing w:line="360" w:lineRule="auto"/>
        <w:ind w:left="1169" w:leftChars="270" w:hanging="602" w:hangingChars="250"/>
        <w:rPr>
          <w:rFonts w:ascii="宋体" w:hAnsi="宋体"/>
          <w:b/>
          <w:color w:val="000000"/>
          <w:sz w:val="24"/>
        </w:rPr>
      </w:pPr>
    </w:p>
    <w:p w14:paraId="332B325B">
      <w:pPr>
        <w:spacing w:line="360" w:lineRule="auto"/>
        <w:ind w:left="1169" w:leftChars="270" w:hanging="602" w:hangingChars="250"/>
        <w:rPr>
          <w:rFonts w:ascii="宋体" w:hAnsi="宋体"/>
          <w:b/>
          <w:color w:val="000000"/>
          <w:sz w:val="24"/>
        </w:rPr>
      </w:pPr>
    </w:p>
    <w:p w14:paraId="1B379930">
      <w:pPr>
        <w:spacing w:line="360" w:lineRule="auto"/>
        <w:ind w:left="1169" w:leftChars="270" w:hanging="602" w:hangingChars="250"/>
        <w:rPr>
          <w:rFonts w:ascii="宋体" w:hAnsi="宋体"/>
          <w:b/>
          <w:color w:val="000000"/>
          <w:sz w:val="24"/>
        </w:rPr>
      </w:pPr>
    </w:p>
    <w:p w14:paraId="3EFC8EE5">
      <w:pPr>
        <w:spacing w:line="360" w:lineRule="auto"/>
        <w:ind w:left="1169" w:leftChars="270" w:hanging="602" w:hangingChars="250"/>
        <w:rPr>
          <w:rFonts w:ascii="宋体" w:hAnsi="宋体"/>
          <w:b/>
          <w:color w:val="000000"/>
          <w:sz w:val="24"/>
        </w:rPr>
      </w:pPr>
    </w:p>
    <w:p w14:paraId="7A02B377">
      <w:pPr>
        <w:spacing w:line="360" w:lineRule="auto"/>
        <w:ind w:left="1169" w:leftChars="270" w:hanging="602" w:hangingChars="250"/>
        <w:rPr>
          <w:rFonts w:ascii="宋体" w:hAnsi="宋体"/>
          <w:b/>
          <w:color w:val="000000"/>
          <w:sz w:val="24"/>
        </w:rPr>
      </w:pPr>
    </w:p>
    <w:p w14:paraId="54ABD8FC">
      <w:pPr>
        <w:spacing w:line="360" w:lineRule="auto"/>
        <w:ind w:left="1169" w:leftChars="270" w:hanging="602" w:hangingChars="250"/>
        <w:rPr>
          <w:rFonts w:ascii="宋体" w:hAnsi="宋体"/>
          <w:b/>
          <w:color w:val="000000"/>
          <w:sz w:val="24"/>
        </w:rPr>
      </w:pPr>
    </w:p>
    <w:p w14:paraId="5FB02605">
      <w:pPr>
        <w:spacing w:line="360" w:lineRule="auto"/>
        <w:ind w:left="1169" w:leftChars="270" w:hanging="602" w:hangingChars="250"/>
        <w:rPr>
          <w:rFonts w:ascii="宋体" w:hAnsi="宋体"/>
          <w:b/>
          <w:color w:val="000000"/>
          <w:sz w:val="24"/>
        </w:rPr>
      </w:pPr>
    </w:p>
    <w:p w14:paraId="03AF6BEE">
      <w:pPr>
        <w:spacing w:line="360" w:lineRule="auto"/>
        <w:ind w:left="1169" w:leftChars="270" w:hanging="602" w:hangingChars="250"/>
        <w:rPr>
          <w:rFonts w:ascii="宋体" w:hAnsi="宋体"/>
          <w:b/>
          <w:color w:val="000000"/>
          <w:sz w:val="24"/>
        </w:rPr>
      </w:pPr>
    </w:p>
    <w:p w14:paraId="7BCC4254">
      <w:pPr>
        <w:spacing w:line="360" w:lineRule="auto"/>
        <w:ind w:left="1169" w:leftChars="270" w:hanging="602" w:hangingChars="250"/>
        <w:rPr>
          <w:rFonts w:ascii="宋体" w:hAnsi="宋体"/>
          <w:b/>
          <w:color w:val="000000"/>
          <w:sz w:val="24"/>
        </w:rPr>
      </w:pPr>
    </w:p>
    <w:p w14:paraId="66198B8C">
      <w:pPr>
        <w:spacing w:line="360" w:lineRule="auto"/>
        <w:ind w:left="1169" w:leftChars="270" w:hanging="602" w:hangingChars="250"/>
        <w:rPr>
          <w:rFonts w:ascii="宋体" w:hAnsi="宋体"/>
          <w:b/>
          <w:color w:val="000000"/>
          <w:sz w:val="24"/>
        </w:rPr>
      </w:pPr>
    </w:p>
    <w:p w14:paraId="7D0B5D96">
      <w:pPr>
        <w:pStyle w:val="109"/>
        <w:ind w:firstLine="3267" w:firstLineChars="1356"/>
        <w:jc w:val="both"/>
        <w:rPr>
          <w:rFonts w:ascii="宋体" w:hAnsi="宋体" w:eastAsia="宋体"/>
        </w:rPr>
      </w:pPr>
      <w:bookmarkStart w:id="45" w:name="_Toc203985117"/>
      <w:bookmarkStart w:id="46" w:name="_Toc73427817"/>
      <w:r>
        <w:rPr>
          <w:rFonts w:hint="eastAsia" w:ascii="宋体" w:hAnsi="宋体" w:eastAsia="宋体"/>
        </w:rPr>
        <w:br w:type="page"/>
      </w:r>
      <w:bookmarkStart w:id="47" w:name="_Toc30473"/>
      <w:r>
        <w:rPr>
          <w:rFonts w:hint="eastAsia" w:ascii="宋体" w:hAnsi="宋体" w:eastAsia="宋体"/>
        </w:rPr>
        <w:t>第四章  合同条款</w:t>
      </w:r>
      <w:bookmarkEnd w:id="45"/>
      <w:bookmarkEnd w:id="47"/>
    </w:p>
    <w:bookmarkEnd w:id="46"/>
    <w:p w14:paraId="38123AA1">
      <w:pPr>
        <w:jc w:val="center"/>
        <w:rPr>
          <w:color w:val="000000"/>
        </w:rPr>
      </w:pPr>
    </w:p>
    <w:p w14:paraId="2E600523">
      <w:pPr>
        <w:spacing w:line="360" w:lineRule="auto"/>
        <w:jc w:val="center"/>
        <w:rPr>
          <w:rFonts w:ascii="宋体" w:hAnsi="宋体"/>
          <w:b/>
          <w:color w:val="000000"/>
          <w:sz w:val="36"/>
          <w:szCs w:val="28"/>
        </w:rPr>
      </w:pPr>
      <w:r>
        <w:rPr>
          <w:rFonts w:hint="eastAsia" w:ascii="宋体" w:hAnsi="宋体"/>
          <w:b/>
          <w:color w:val="000000"/>
          <w:sz w:val="36"/>
          <w:szCs w:val="28"/>
        </w:rPr>
        <w:t>北京理工物业管理有限公司</w:t>
      </w:r>
    </w:p>
    <w:p w14:paraId="34B1D09B">
      <w:pPr>
        <w:spacing w:line="360" w:lineRule="auto"/>
        <w:jc w:val="center"/>
        <w:rPr>
          <w:rFonts w:ascii="宋体" w:hAnsi="宋体"/>
          <w:b/>
          <w:color w:val="000000"/>
          <w:sz w:val="36"/>
          <w:szCs w:val="28"/>
        </w:rPr>
      </w:pPr>
      <w:r>
        <w:rPr>
          <w:rFonts w:hint="eastAsia" w:ascii="宋体" w:hAnsi="宋体"/>
          <w:b/>
          <w:color w:val="000000"/>
          <w:sz w:val="36"/>
          <w:szCs w:val="28"/>
        </w:rPr>
        <w:t>货物类采购合同</w:t>
      </w:r>
    </w:p>
    <w:p w14:paraId="249C8953">
      <w:pPr>
        <w:pStyle w:val="38"/>
        <w:shd w:val="clear" w:color="auto" w:fill="FFFFFF"/>
        <w:spacing w:beforeAutospacing="0" w:afterAutospacing="0" w:line="360" w:lineRule="auto"/>
        <w:ind w:firstLine="420"/>
        <w:jc w:val="center"/>
        <w:rPr>
          <w:rFonts w:ascii="宋体" w:hAnsi="宋体"/>
          <w:b/>
          <w:color w:val="000000"/>
          <w:kern w:val="2"/>
          <w:sz w:val="24"/>
          <w:szCs w:val="24"/>
        </w:rPr>
      </w:pPr>
    </w:p>
    <w:p w14:paraId="244D05C7">
      <w:pPr>
        <w:pStyle w:val="38"/>
        <w:shd w:val="clear" w:color="auto" w:fill="FFFFFF"/>
        <w:spacing w:before="0" w:beforeAutospacing="0" w:after="0" w:afterAutospacing="0" w:line="360" w:lineRule="auto"/>
        <w:ind w:firstLine="420"/>
        <w:rPr>
          <w:rFonts w:ascii="宋体" w:hAnsi="宋体"/>
          <w:bCs/>
          <w:color w:val="000000"/>
          <w:sz w:val="24"/>
          <w:szCs w:val="24"/>
          <w:shd w:val="clear" w:color="auto" w:fill="FFFFFF"/>
        </w:rPr>
      </w:pPr>
      <w:r>
        <w:rPr>
          <w:rFonts w:hint="eastAsia" w:ascii="宋体" w:hAnsi="宋体"/>
          <w:bCs/>
          <w:color w:val="000000"/>
          <w:sz w:val="24"/>
          <w:szCs w:val="24"/>
          <w:shd w:val="clear" w:color="auto" w:fill="FFFFFF"/>
        </w:rPr>
        <w:t>甲方（买方）：北京理工物业管理有限公司</w:t>
      </w:r>
    </w:p>
    <w:p w14:paraId="701724F4">
      <w:pPr>
        <w:pStyle w:val="38"/>
        <w:shd w:val="clear" w:color="auto" w:fill="FFFFFF"/>
        <w:spacing w:before="0" w:beforeAutospacing="0" w:after="0" w:afterAutospacing="0" w:line="360" w:lineRule="auto"/>
        <w:ind w:firstLine="420"/>
        <w:jc w:val="both"/>
        <w:rPr>
          <w:rFonts w:ascii="宋体" w:hAnsi="宋体"/>
          <w:bCs/>
          <w:color w:val="000000"/>
          <w:sz w:val="24"/>
          <w:szCs w:val="24"/>
          <w:shd w:val="clear" w:color="auto" w:fill="FFFFFF"/>
        </w:rPr>
      </w:pPr>
    </w:p>
    <w:p w14:paraId="6413F7C0">
      <w:pPr>
        <w:pStyle w:val="38"/>
        <w:shd w:val="clear" w:color="auto" w:fill="FFFFFF"/>
        <w:spacing w:before="0" w:beforeAutospacing="0" w:after="0" w:afterAutospacing="0" w:line="360" w:lineRule="auto"/>
        <w:ind w:firstLine="420"/>
        <w:jc w:val="both"/>
        <w:rPr>
          <w:rFonts w:ascii="宋体" w:hAnsi="宋体"/>
          <w:bCs/>
          <w:color w:val="000000"/>
          <w:sz w:val="24"/>
          <w:szCs w:val="24"/>
          <w:shd w:val="clear" w:color="auto" w:fill="FFFFFF"/>
        </w:rPr>
      </w:pPr>
      <w:r>
        <w:rPr>
          <w:rFonts w:hint="eastAsia" w:ascii="宋体" w:hAnsi="宋体"/>
          <w:bCs/>
          <w:color w:val="000000"/>
          <w:sz w:val="24"/>
          <w:szCs w:val="24"/>
          <w:shd w:val="clear" w:color="auto" w:fill="FFFFFF"/>
        </w:rPr>
        <w:t>法定代表人：</w:t>
      </w:r>
    </w:p>
    <w:p w14:paraId="6D146D9E">
      <w:pPr>
        <w:pStyle w:val="38"/>
        <w:shd w:val="clear" w:color="auto" w:fill="FFFFFF"/>
        <w:spacing w:before="0" w:beforeAutospacing="0" w:after="0" w:afterAutospacing="0" w:line="360" w:lineRule="auto"/>
        <w:ind w:firstLine="420"/>
        <w:jc w:val="both"/>
        <w:rPr>
          <w:rFonts w:ascii="宋体" w:hAnsi="宋体"/>
          <w:bCs/>
          <w:color w:val="000000"/>
          <w:sz w:val="24"/>
          <w:szCs w:val="24"/>
          <w:shd w:val="clear" w:color="auto" w:fill="FFFFFF"/>
        </w:rPr>
      </w:pPr>
      <w:r>
        <w:rPr>
          <w:rFonts w:hint="eastAsia" w:ascii="宋体" w:hAnsi="宋体"/>
          <w:bCs/>
          <w:color w:val="000000"/>
          <w:sz w:val="24"/>
          <w:szCs w:val="24"/>
          <w:shd w:val="clear" w:color="auto" w:fill="FFFFFF"/>
        </w:rPr>
        <w:t xml:space="preserve">地址：北京市海淀区中关村南大街5号 </w:t>
      </w:r>
    </w:p>
    <w:p w14:paraId="43BE43AE">
      <w:pPr>
        <w:pStyle w:val="38"/>
        <w:shd w:val="clear" w:color="auto" w:fill="FFFFFF"/>
        <w:spacing w:before="0" w:beforeAutospacing="0" w:after="0" w:afterAutospacing="0" w:line="360" w:lineRule="auto"/>
        <w:ind w:firstLine="420"/>
        <w:jc w:val="both"/>
        <w:rPr>
          <w:rFonts w:ascii="宋体" w:hAnsi="宋体"/>
          <w:bCs/>
          <w:color w:val="000000"/>
          <w:sz w:val="24"/>
          <w:szCs w:val="24"/>
          <w:shd w:val="clear" w:color="auto" w:fill="FFFFFF"/>
        </w:rPr>
      </w:pPr>
      <w:r>
        <w:rPr>
          <w:rFonts w:hint="eastAsia" w:ascii="宋体" w:hAnsi="宋体"/>
          <w:bCs/>
          <w:color w:val="000000"/>
          <w:sz w:val="24"/>
          <w:szCs w:val="24"/>
          <w:shd w:val="clear" w:color="auto" w:fill="FFFFFF"/>
        </w:rPr>
        <w:t xml:space="preserve">邮编：100081 </w:t>
      </w:r>
    </w:p>
    <w:p w14:paraId="753738A8">
      <w:pPr>
        <w:pStyle w:val="38"/>
        <w:shd w:val="clear" w:color="auto" w:fill="FFFFFF"/>
        <w:spacing w:before="0" w:beforeAutospacing="0" w:after="0" w:afterAutospacing="0" w:line="360" w:lineRule="auto"/>
        <w:ind w:firstLine="420"/>
        <w:jc w:val="both"/>
        <w:rPr>
          <w:rFonts w:ascii="宋体" w:hAnsi="宋体"/>
          <w:bCs/>
          <w:color w:val="000000"/>
          <w:sz w:val="24"/>
          <w:szCs w:val="24"/>
          <w:shd w:val="clear" w:color="auto" w:fill="FFFFFF"/>
        </w:rPr>
      </w:pPr>
      <w:r>
        <w:rPr>
          <w:rFonts w:hint="eastAsia" w:ascii="宋体" w:hAnsi="宋体"/>
          <w:bCs/>
          <w:color w:val="000000"/>
          <w:sz w:val="24"/>
          <w:szCs w:val="24"/>
          <w:shd w:val="clear" w:color="auto" w:fill="FFFFFF"/>
        </w:rPr>
        <w:t>联系人：</w:t>
      </w:r>
    </w:p>
    <w:p w14:paraId="62858C0D">
      <w:pPr>
        <w:pStyle w:val="38"/>
        <w:shd w:val="clear" w:color="auto" w:fill="FFFFFF"/>
        <w:spacing w:before="0" w:beforeAutospacing="0" w:after="0" w:afterAutospacing="0" w:line="360" w:lineRule="auto"/>
        <w:ind w:firstLine="420"/>
        <w:jc w:val="both"/>
        <w:rPr>
          <w:rFonts w:ascii="宋体" w:hAnsi="宋体"/>
          <w:bCs/>
          <w:color w:val="000000"/>
          <w:sz w:val="24"/>
          <w:szCs w:val="24"/>
          <w:shd w:val="clear" w:color="auto" w:fill="FFFFFF"/>
        </w:rPr>
      </w:pPr>
      <w:r>
        <w:rPr>
          <w:rFonts w:hint="eastAsia" w:ascii="宋体" w:hAnsi="宋体"/>
          <w:bCs/>
          <w:color w:val="000000"/>
          <w:sz w:val="24"/>
          <w:szCs w:val="24"/>
          <w:shd w:val="clear" w:color="auto" w:fill="FFFFFF"/>
        </w:rPr>
        <w:t>电话：</w:t>
      </w:r>
    </w:p>
    <w:p w14:paraId="385AB4DA">
      <w:pPr>
        <w:pStyle w:val="38"/>
        <w:shd w:val="clear" w:color="auto" w:fill="FFFFFF"/>
        <w:spacing w:before="0" w:beforeAutospacing="0" w:after="0" w:afterAutospacing="0" w:line="360" w:lineRule="auto"/>
        <w:ind w:firstLine="420"/>
        <w:jc w:val="both"/>
        <w:rPr>
          <w:rFonts w:ascii="宋体" w:hAnsi="宋体"/>
          <w:bCs/>
          <w:color w:val="000000"/>
          <w:sz w:val="24"/>
          <w:szCs w:val="24"/>
          <w:shd w:val="clear" w:color="auto" w:fill="FFFFFF"/>
        </w:rPr>
      </w:pPr>
      <w:r>
        <w:rPr>
          <w:rFonts w:hint="eastAsia" w:ascii="宋体" w:hAnsi="宋体"/>
          <w:bCs/>
          <w:color w:val="000000"/>
          <w:sz w:val="24"/>
          <w:szCs w:val="24"/>
          <w:shd w:val="clear" w:color="auto" w:fill="FFFFFF"/>
        </w:rPr>
        <w:t xml:space="preserve">传真： </w:t>
      </w:r>
    </w:p>
    <w:p w14:paraId="0AD8D8C7">
      <w:pPr>
        <w:pStyle w:val="38"/>
        <w:shd w:val="clear" w:color="auto" w:fill="FFFFFF"/>
        <w:spacing w:before="0" w:beforeAutospacing="0" w:after="0" w:afterAutospacing="0" w:line="360" w:lineRule="auto"/>
        <w:ind w:firstLine="420"/>
        <w:jc w:val="both"/>
        <w:rPr>
          <w:rFonts w:ascii="宋体" w:hAnsi="宋体"/>
          <w:bCs/>
          <w:color w:val="000000"/>
          <w:sz w:val="24"/>
          <w:szCs w:val="24"/>
          <w:shd w:val="clear" w:color="auto" w:fill="FFFFFF"/>
        </w:rPr>
      </w:pPr>
      <w:r>
        <w:rPr>
          <w:rFonts w:hint="eastAsia" w:ascii="宋体" w:hAnsi="宋体"/>
          <w:bCs/>
          <w:color w:val="000000"/>
          <w:sz w:val="24"/>
          <w:szCs w:val="24"/>
          <w:shd w:val="clear" w:color="auto" w:fill="FFFFFF"/>
        </w:rPr>
        <w:t>电子邮箱：</w:t>
      </w:r>
    </w:p>
    <w:p w14:paraId="3C010C01">
      <w:pPr>
        <w:pStyle w:val="38"/>
        <w:shd w:val="clear" w:color="auto" w:fill="FFFFFF"/>
        <w:spacing w:before="0" w:beforeAutospacing="0" w:after="0" w:afterAutospacing="0" w:line="360" w:lineRule="auto"/>
        <w:ind w:firstLine="420"/>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 xml:space="preserve">  </w:t>
      </w:r>
    </w:p>
    <w:p w14:paraId="0F3667AB">
      <w:pPr>
        <w:pStyle w:val="38"/>
        <w:shd w:val="clear" w:color="auto" w:fill="FFFFFF"/>
        <w:spacing w:before="0" w:beforeAutospacing="0" w:after="0" w:afterAutospacing="0" w:line="360" w:lineRule="auto"/>
        <w:ind w:firstLine="420"/>
        <w:jc w:val="both"/>
        <w:rPr>
          <w:rFonts w:ascii="宋体" w:hAnsi="宋体"/>
          <w:bCs/>
          <w:color w:val="000000"/>
          <w:sz w:val="24"/>
          <w:szCs w:val="24"/>
          <w:shd w:val="clear" w:color="auto" w:fill="FFFFFF"/>
        </w:rPr>
      </w:pPr>
      <w:r>
        <w:rPr>
          <w:rFonts w:hint="eastAsia" w:ascii="宋体" w:hAnsi="宋体"/>
          <w:bCs/>
          <w:color w:val="000000"/>
          <w:sz w:val="24"/>
          <w:szCs w:val="24"/>
          <w:shd w:val="clear" w:color="auto" w:fill="FFFFFF"/>
        </w:rPr>
        <w:t>乙方（卖方）：</w:t>
      </w:r>
    </w:p>
    <w:p w14:paraId="3533D4C7">
      <w:pPr>
        <w:pStyle w:val="38"/>
        <w:shd w:val="clear" w:color="auto" w:fill="FFFFFF"/>
        <w:spacing w:before="0" w:beforeAutospacing="0" w:after="0" w:afterAutospacing="0" w:line="360" w:lineRule="auto"/>
        <w:ind w:firstLine="420"/>
        <w:jc w:val="both"/>
        <w:rPr>
          <w:rFonts w:ascii="宋体" w:hAnsi="宋体"/>
          <w:bCs/>
          <w:color w:val="000000"/>
          <w:sz w:val="24"/>
          <w:szCs w:val="24"/>
          <w:shd w:val="clear" w:color="auto" w:fill="FFFFFF"/>
        </w:rPr>
      </w:pPr>
      <w:r>
        <w:rPr>
          <w:rFonts w:hint="eastAsia" w:ascii="宋体" w:hAnsi="宋体"/>
          <w:bCs/>
          <w:color w:val="000000"/>
          <w:sz w:val="24"/>
          <w:szCs w:val="24"/>
          <w:shd w:val="clear" w:color="auto" w:fill="FFFFFF"/>
        </w:rPr>
        <w:t>法定代表人：</w:t>
      </w:r>
    </w:p>
    <w:p w14:paraId="20769EFA">
      <w:pPr>
        <w:pStyle w:val="38"/>
        <w:shd w:val="clear" w:color="auto" w:fill="FFFFFF"/>
        <w:spacing w:before="0" w:beforeAutospacing="0" w:after="0" w:afterAutospacing="0" w:line="360" w:lineRule="auto"/>
        <w:ind w:firstLine="420"/>
        <w:jc w:val="both"/>
        <w:rPr>
          <w:rFonts w:ascii="宋体" w:hAnsi="宋体"/>
          <w:bCs/>
          <w:color w:val="000000"/>
          <w:sz w:val="24"/>
          <w:szCs w:val="24"/>
          <w:shd w:val="clear" w:color="auto" w:fill="FFFFFF"/>
        </w:rPr>
      </w:pPr>
      <w:r>
        <w:rPr>
          <w:rFonts w:hint="eastAsia" w:ascii="宋体" w:hAnsi="宋体"/>
          <w:bCs/>
          <w:color w:val="000000"/>
          <w:sz w:val="24"/>
          <w:szCs w:val="24"/>
          <w:shd w:val="clear" w:color="auto" w:fill="FFFFFF"/>
        </w:rPr>
        <w:t xml:space="preserve">地址： </w:t>
      </w:r>
    </w:p>
    <w:p w14:paraId="01BD97A5">
      <w:pPr>
        <w:pStyle w:val="38"/>
        <w:shd w:val="clear" w:color="auto" w:fill="FFFFFF"/>
        <w:spacing w:before="0" w:beforeAutospacing="0" w:after="0" w:afterAutospacing="0" w:line="360" w:lineRule="auto"/>
        <w:ind w:firstLine="420"/>
        <w:jc w:val="both"/>
        <w:rPr>
          <w:rFonts w:ascii="宋体" w:hAnsi="宋体"/>
          <w:bCs/>
          <w:color w:val="000000"/>
          <w:sz w:val="24"/>
          <w:szCs w:val="24"/>
          <w:shd w:val="clear" w:color="auto" w:fill="FFFFFF"/>
        </w:rPr>
      </w:pPr>
      <w:r>
        <w:rPr>
          <w:rFonts w:hint="eastAsia" w:ascii="宋体" w:hAnsi="宋体"/>
          <w:bCs/>
          <w:color w:val="000000"/>
          <w:sz w:val="24"/>
          <w:szCs w:val="24"/>
          <w:shd w:val="clear" w:color="auto" w:fill="FFFFFF"/>
        </w:rPr>
        <w:t xml:space="preserve">邮编： </w:t>
      </w:r>
    </w:p>
    <w:p w14:paraId="616F389B">
      <w:pPr>
        <w:pStyle w:val="38"/>
        <w:shd w:val="clear" w:color="auto" w:fill="FFFFFF"/>
        <w:spacing w:before="0" w:beforeAutospacing="0" w:after="0" w:afterAutospacing="0" w:line="360" w:lineRule="auto"/>
        <w:ind w:firstLine="420"/>
        <w:jc w:val="both"/>
        <w:rPr>
          <w:rFonts w:ascii="宋体" w:hAnsi="宋体"/>
          <w:bCs/>
          <w:color w:val="000000"/>
          <w:sz w:val="24"/>
          <w:szCs w:val="24"/>
          <w:shd w:val="clear" w:color="auto" w:fill="FFFFFF"/>
        </w:rPr>
      </w:pPr>
      <w:r>
        <w:rPr>
          <w:rFonts w:hint="eastAsia" w:ascii="宋体" w:hAnsi="宋体"/>
          <w:bCs/>
          <w:color w:val="000000"/>
          <w:sz w:val="24"/>
          <w:szCs w:val="24"/>
          <w:shd w:val="clear" w:color="auto" w:fill="FFFFFF"/>
        </w:rPr>
        <w:t>联系人：</w:t>
      </w:r>
    </w:p>
    <w:p w14:paraId="02DB7DD6">
      <w:pPr>
        <w:pStyle w:val="38"/>
        <w:shd w:val="clear" w:color="auto" w:fill="FFFFFF"/>
        <w:spacing w:before="0" w:beforeAutospacing="0" w:after="0" w:afterAutospacing="0" w:line="360" w:lineRule="auto"/>
        <w:ind w:firstLine="420"/>
        <w:jc w:val="both"/>
        <w:rPr>
          <w:rFonts w:ascii="宋体" w:hAnsi="宋体"/>
          <w:bCs/>
          <w:color w:val="000000"/>
          <w:sz w:val="24"/>
          <w:szCs w:val="24"/>
          <w:shd w:val="clear" w:color="auto" w:fill="FFFFFF"/>
        </w:rPr>
      </w:pPr>
      <w:r>
        <w:rPr>
          <w:rFonts w:hint="eastAsia" w:ascii="宋体" w:hAnsi="宋体"/>
          <w:bCs/>
          <w:color w:val="000000"/>
          <w:sz w:val="24"/>
          <w:szCs w:val="24"/>
          <w:shd w:val="clear" w:color="auto" w:fill="FFFFFF"/>
        </w:rPr>
        <w:t>电话：</w:t>
      </w:r>
    </w:p>
    <w:p w14:paraId="397737F6">
      <w:pPr>
        <w:pStyle w:val="38"/>
        <w:shd w:val="clear" w:color="auto" w:fill="FFFFFF"/>
        <w:spacing w:before="0" w:beforeAutospacing="0" w:after="0" w:afterAutospacing="0" w:line="360" w:lineRule="auto"/>
        <w:ind w:firstLine="420"/>
        <w:jc w:val="both"/>
        <w:rPr>
          <w:rFonts w:ascii="宋体" w:hAnsi="宋体"/>
          <w:bCs/>
          <w:color w:val="000000"/>
          <w:sz w:val="24"/>
          <w:szCs w:val="24"/>
          <w:shd w:val="clear" w:color="auto" w:fill="FFFFFF"/>
        </w:rPr>
      </w:pPr>
      <w:r>
        <w:rPr>
          <w:rFonts w:hint="eastAsia" w:ascii="宋体" w:hAnsi="宋体"/>
          <w:bCs/>
          <w:color w:val="000000"/>
          <w:sz w:val="24"/>
          <w:szCs w:val="24"/>
          <w:shd w:val="clear" w:color="auto" w:fill="FFFFFF"/>
        </w:rPr>
        <w:t>传真：</w:t>
      </w:r>
    </w:p>
    <w:p w14:paraId="2DAA9B35">
      <w:pPr>
        <w:pStyle w:val="38"/>
        <w:shd w:val="clear" w:color="auto" w:fill="FFFFFF"/>
        <w:spacing w:before="0" w:beforeAutospacing="0" w:after="0" w:afterAutospacing="0" w:line="360" w:lineRule="auto"/>
        <w:ind w:firstLine="420"/>
        <w:jc w:val="both"/>
        <w:rPr>
          <w:rFonts w:ascii="宋体" w:hAnsi="宋体"/>
          <w:bCs/>
          <w:color w:val="000000"/>
          <w:sz w:val="24"/>
          <w:szCs w:val="24"/>
          <w:shd w:val="clear" w:color="auto" w:fill="FFFFFF"/>
        </w:rPr>
      </w:pPr>
      <w:r>
        <w:rPr>
          <w:rFonts w:hint="eastAsia" w:ascii="宋体" w:hAnsi="宋体"/>
          <w:bCs/>
          <w:color w:val="000000"/>
          <w:sz w:val="24"/>
          <w:szCs w:val="24"/>
          <w:shd w:val="clear" w:color="auto" w:fill="FFFFFF"/>
        </w:rPr>
        <w:t xml:space="preserve">电子邮箱： </w:t>
      </w:r>
    </w:p>
    <w:p w14:paraId="05110BA3">
      <w:pPr>
        <w:pStyle w:val="38"/>
        <w:shd w:val="clear" w:color="auto" w:fill="FFFFFF"/>
        <w:spacing w:before="0" w:beforeAutospacing="0" w:after="0" w:afterAutospacing="0" w:line="360" w:lineRule="auto"/>
        <w:jc w:val="both"/>
        <w:rPr>
          <w:rFonts w:ascii="宋体" w:hAnsi="宋体"/>
          <w:color w:val="000000"/>
          <w:sz w:val="24"/>
          <w:szCs w:val="24"/>
          <w:shd w:val="clear" w:color="auto" w:fill="FFFFFF"/>
        </w:rPr>
      </w:pPr>
    </w:p>
    <w:p w14:paraId="79F81559">
      <w:pPr>
        <w:pStyle w:val="38"/>
        <w:shd w:val="clear" w:color="auto" w:fill="FFFFFF"/>
        <w:spacing w:before="0" w:beforeAutospacing="0" w:after="0" w:afterAutospacing="0" w:line="360" w:lineRule="auto"/>
        <w:ind w:firstLine="480"/>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双方经充分协商，本着自愿及平等互利的原则，订立本合同。</w:t>
      </w:r>
    </w:p>
    <w:p w14:paraId="3D57ECD2">
      <w:pPr>
        <w:pStyle w:val="38"/>
        <w:shd w:val="clear" w:color="auto" w:fill="FFFFFF"/>
        <w:spacing w:before="0" w:beforeAutospacing="0" w:after="0" w:afterAutospacing="0" w:line="360" w:lineRule="auto"/>
        <w:jc w:val="both"/>
        <w:rPr>
          <w:rFonts w:ascii="宋体" w:hAnsi="宋体"/>
          <w:color w:val="000000"/>
          <w:sz w:val="24"/>
          <w:szCs w:val="24"/>
          <w:shd w:val="clear" w:color="auto" w:fill="FFFFFF"/>
        </w:rPr>
      </w:pPr>
      <w:r>
        <w:rPr>
          <w:rFonts w:hint="eastAsia" w:ascii="宋体" w:hAnsi="宋体"/>
          <w:b/>
          <w:bCs/>
          <w:color w:val="000000"/>
          <w:sz w:val="24"/>
          <w:szCs w:val="24"/>
          <w:shd w:val="clear" w:color="auto" w:fill="FFFFFF"/>
        </w:rPr>
        <w:t>第一条 货物名称、品种、规格、质量和技术资料</w:t>
      </w:r>
    </w:p>
    <w:p w14:paraId="712506EF">
      <w:pPr>
        <w:pStyle w:val="38"/>
        <w:shd w:val="clear" w:color="auto" w:fill="FFFFFF"/>
        <w:spacing w:before="0" w:beforeAutospacing="0" w:after="0" w:afterAutospacing="0" w:line="360" w:lineRule="auto"/>
        <w:jc w:val="both"/>
        <w:rPr>
          <w:rFonts w:ascii="宋体" w:hAnsi="宋体"/>
          <w:color w:val="000000"/>
          <w:sz w:val="24"/>
          <w:szCs w:val="24"/>
          <w:u w:val="single"/>
          <w:shd w:val="clear" w:color="auto" w:fill="FFFFFF"/>
        </w:rPr>
      </w:pPr>
      <w:r>
        <w:rPr>
          <w:rFonts w:hint="eastAsia" w:ascii="宋体" w:hAnsi="宋体"/>
          <w:color w:val="000000"/>
          <w:sz w:val="24"/>
          <w:szCs w:val="24"/>
          <w:shd w:val="clear" w:color="auto" w:fill="FFFFFF"/>
        </w:rPr>
        <w:t xml:space="preserve">    1.名称：</w:t>
      </w:r>
      <w:r>
        <w:rPr>
          <w:rFonts w:hint="eastAsia" w:ascii="宋体" w:hAnsi="宋体"/>
          <w:color w:val="000000"/>
          <w:sz w:val="24"/>
          <w:szCs w:val="24"/>
          <w:u w:val="single"/>
          <w:shd w:val="clear" w:color="auto" w:fill="FFFFFF"/>
        </w:rPr>
        <w:t xml:space="preserve">                      </w:t>
      </w:r>
    </w:p>
    <w:p w14:paraId="3487E614">
      <w:pPr>
        <w:pStyle w:val="38"/>
        <w:shd w:val="clear" w:color="auto" w:fill="FFFFFF"/>
        <w:spacing w:before="0" w:beforeAutospacing="0" w:after="0" w:afterAutospacing="0" w:line="360" w:lineRule="auto"/>
        <w:jc w:val="both"/>
        <w:rPr>
          <w:rFonts w:ascii="宋体" w:hAnsi="宋体"/>
          <w:color w:val="000000"/>
          <w:sz w:val="24"/>
          <w:szCs w:val="24"/>
          <w:u w:val="single"/>
          <w:shd w:val="clear" w:color="auto" w:fill="FFFFFF"/>
        </w:rPr>
      </w:pPr>
      <w:r>
        <w:rPr>
          <w:rFonts w:hint="eastAsia" w:ascii="宋体" w:hAnsi="宋体"/>
          <w:color w:val="000000"/>
          <w:sz w:val="24"/>
          <w:szCs w:val="24"/>
          <w:shd w:val="clear" w:color="auto" w:fill="FFFFFF"/>
        </w:rPr>
        <w:t xml:space="preserve">      品种（或品牌）：</w:t>
      </w:r>
      <w:r>
        <w:rPr>
          <w:rFonts w:hint="eastAsia" w:ascii="宋体" w:hAnsi="宋体"/>
          <w:color w:val="000000"/>
          <w:sz w:val="24"/>
          <w:szCs w:val="24"/>
          <w:u w:val="single"/>
          <w:shd w:val="clear" w:color="auto" w:fill="FFFFFF"/>
        </w:rPr>
        <w:t xml:space="preserve">                      </w:t>
      </w:r>
    </w:p>
    <w:p w14:paraId="5C924C6E">
      <w:pPr>
        <w:pStyle w:val="38"/>
        <w:shd w:val="clear" w:color="auto" w:fill="FFFFFF"/>
        <w:spacing w:before="0" w:beforeAutospacing="0" w:after="0" w:afterAutospacing="0" w:line="360" w:lineRule="auto"/>
        <w:jc w:val="both"/>
        <w:rPr>
          <w:rFonts w:ascii="宋体" w:hAnsi="宋体"/>
          <w:color w:val="000000"/>
          <w:sz w:val="24"/>
          <w:szCs w:val="24"/>
        </w:rPr>
      </w:pPr>
      <w:r>
        <w:rPr>
          <w:rFonts w:hint="eastAsia" w:ascii="宋体" w:hAnsi="宋体"/>
          <w:color w:val="000000"/>
          <w:sz w:val="24"/>
          <w:szCs w:val="24"/>
          <w:shd w:val="clear" w:color="auto" w:fill="FFFFFF"/>
        </w:rPr>
        <w:t xml:space="preserve">      规格：</w:t>
      </w:r>
      <w:r>
        <w:rPr>
          <w:rFonts w:hint="eastAsia" w:ascii="宋体" w:hAnsi="宋体"/>
          <w:color w:val="000000"/>
          <w:sz w:val="24"/>
          <w:szCs w:val="24"/>
          <w:u w:val="single"/>
          <w:shd w:val="clear" w:color="auto" w:fill="FFFFFF"/>
        </w:rPr>
        <w:t xml:space="preserve">                       </w:t>
      </w:r>
    </w:p>
    <w:p w14:paraId="738AF685">
      <w:pPr>
        <w:pStyle w:val="38"/>
        <w:shd w:val="clear" w:color="auto" w:fill="FFFFFF"/>
        <w:spacing w:before="0" w:beforeAutospacing="0" w:after="0" w:afterAutospacing="0" w:line="360" w:lineRule="auto"/>
        <w:jc w:val="both"/>
        <w:rPr>
          <w:rFonts w:ascii="宋体" w:hAnsi="宋体"/>
          <w:color w:val="000000"/>
          <w:sz w:val="24"/>
          <w:szCs w:val="24"/>
        </w:rPr>
      </w:pPr>
      <w:r>
        <w:rPr>
          <w:rFonts w:hint="eastAsia" w:ascii="宋体" w:hAnsi="宋体"/>
          <w:color w:val="000000"/>
          <w:sz w:val="24"/>
          <w:szCs w:val="24"/>
          <w:shd w:val="clear" w:color="auto" w:fill="FFFFFF"/>
        </w:rPr>
        <w:t xml:space="preserve">    2.质量，按下列第（ ）项执行：</w:t>
      </w:r>
    </w:p>
    <w:p w14:paraId="35202EFF">
      <w:pPr>
        <w:pStyle w:val="38"/>
        <w:shd w:val="clear" w:color="auto" w:fill="FFFFFF"/>
        <w:spacing w:before="0" w:beforeAutospacing="0" w:after="0" w:afterAutospacing="0" w:line="360" w:lineRule="auto"/>
        <w:ind w:left="1256" w:leftChars="303" w:hanging="620"/>
        <w:jc w:val="both"/>
        <w:rPr>
          <w:rFonts w:ascii="宋体" w:hAnsi="宋体"/>
          <w:color w:val="000000"/>
          <w:sz w:val="24"/>
          <w:szCs w:val="24"/>
        </w:rPr>
      </w:pPr>
      <w:r>
        <w:rPr>
          <w:rFonts w:hint="eastAsia" w:ascii="宋体" w:hAnsi="宋体"/>
          <w:color w:val="000000"/>
          <w:sz w:val="24"/>
          <w:szCs w:val="24"/>
          <w:shd w:val="clear" w:color="auto" w:fill="FFFFFF"/>
        </w:rPr>
        <w:t>（1）按照</w:t>
      </w:r>
      <w:r>
        <w:rPr>
          <w:rFonts w:hint="eastAsia" w:ascii="宋体" w:hAnsi="宋体"/>
          <w:color w:val="000000"/>
          <w:sz w:val="24"/>
          <w:szCs w:val="24"/>
          <w:u w:val="single"/>
          <w:shd w:val="clear" w:color="auto" w:fill="FFFFFF"/>
        </w:rPr>
        <w:t xml:space="preserve">            </w:t>
      </w:r>
      <w:r>
        <w:rPr>
          <w:rFonts w:hint="eastAsia" w:ascii="宋体" w:hAnsi="宋体"/>
          <w:color w:val="000000"/>
          <w:sz w:val="24"/>
          <w:szCs w:val="24"/>
          <w:shd w:val="clear" w:color="auto" w:fill="FFFFFF"/>
        </w:rPr>
        <w:t>标准执行（须注明按国家标准、行业标准，如标准代号、编号和标准名称等）。</w:t>
      </w:r>
    </w:p>
    <w:p w14:paraId="2EB7CF05">
      <w:pPr>
        <w:pStyle w:val="38"/>
        <w:shd w:val="clear" w:color="auto" w:fill="FFFFFF"/>
        <w:spacing w:before="0" w:beforeAutospacing="0" w:after="0" w:afterAutospacing="0" w:line="360" w:lineRule="auto"/>
        <w:ind w:left="1256" w:leftChars="303" w:hanging="620"/>
        <w:jc w:val="both"/>
        <w:rPr>
          <w:rFonts w:ascii="宋体" w:hAnsi="宋体"/>
          <w:color w:val="000000"/>
          <w:sz w:val="24"/>
          <w:szCs w:val="24"/>
        </w:rPr>
      </w:pPr>
      <w:r>
        <w:rPr>
          <w:rFonts w:hint="eastAsia" w:ascii="宋体" w:hAnsi="宋体"/>
          <w:color w:val="000000"/>
          <w:sz w:val="24"/>
          <w:szCs w:val="24"/>
          <w:shd w:val="clear" w:color="auto" w:fill="FFFFFF"/>
        </w:rPr>
        <w:t>（2）按样本，样本应封存于甲方</w:t>
      </w:r>
      <w:r>
        <w:rPr>
          <w:rFonts w:hint="eastAsia" w:ascii="宋体" w:hAnsi="宋体"/>
          <w:color w:val="000000"/>
          <w:sz w:val="24"/>
          <w:szCs w:val="24"/>
          <w:u w:val="single"/>
          <w:shd w:val="clear" w:color="auto" w:fill="FFFFFF"/>
        </w:rPr>
        <w:t xml:space="preserve">                </w:t>
      </w:r>
      <w:r>
        <w:rPr>
          <w:rFonts w:hint="eastAsia" w:ascii="宋体" w:hAnsi="宋体"/>
          <w:color w:val="000000"/>
          <w:sz w:val="24"/>
          <w:szCs w:val="24"/>
          <w:shd w:val="clear" w:color="auto" w:fill="FFFFFF"/>
        </w:rPr>
        <w:t>（注明样本封存及保管方式）。</w:t>
      </w:r>
    </w:p>
    <w:p w14:paraId="5C8DB93F">
      <w:pPr>
        <w:pStyle w:val="38"/>
        <w:shd w:val="clear" w:color="auto" w:fill="FFFFFF"/>
        <w:spacing w:before="0" w:beforeAutospacing="0" w:after="0" w:afterAutospacing="0" w:line="360" w:lineRule="auto"/>
        <w:ind w:left="1256" w:leftChars="303" w:hanging="620"/>
        <w:jc w:val="both"/>
        <w:rPr>
          <w:rFonts w:ascii="宋体" w:hAnsi="宋体"/>
          <w:color w:val="000000"/>
          <w:sz w:val="24"/>
          <w:szCs w:val="24"/>
        </w:rPr>
      </w:pPr>
      <w:r>
        <w:rPr>
          <w:rFonts w:hint="eastAsia" w:ascii="宋体" w:hAnsi="宋体"/>
          <w:color w:val="000000"/>
          <w:sz w:val="24"/>
          <w:szCs w:val="24"/>
          <w:shd w:val="clear" w:color="auto" w:fill="FFFFFF"/>
        </w:rPr>
        <w:t>（3）按双方商定的要求执行，具体见合同附件：</w:t>
      </w:r>
      <w:r>
        <w:rPr>
          <w:rFonts w:hint="eastAsia" w:ascii="宋体" w:hAnsi="宋体"/>
          <w:color w:val="000000"/>
          <w:sz w:val="24"/>
          <w:szCs w:val="24"/>
          <w:u w:val="single"/>
          <w:shd w:val="clear" w:color="auto" w:fill="FFFFFF"/>
        </w:rPr>
        <w:t xml:space="preserve">                 </w:t>
      </w:r>
      <w:r>
        <w:rPr>
          <w:rFonts w:hint="eastAsia" w:ascii="宋体" w:hAnsi="宋体"/>
          <w:color w:val="000000"/>
          <w:sz w:val="24"/>
          <w:szCs w:val="24"/>
          <w:shd w:val="clear" w:color="auto" w:fill="FFFFFF"/>
        </w:rPr>
        <w:t>。</w:t>
      </w:r>
    </w:p>
    <w:p w14:paraId="44089C33">
      <w:pPr>
        <w:pStyle w:val="38"/>
        <w:shd w:val="clear" w:color="auto" w:fill="FFFFFF"/>
        <w:spacing w:before="0" w:beforeAutospacing="0" w:after="0" w:afterAutospacing="0" w:line="360" w:lineRule="auto"/>
        <w:ind w:firstLine="480"/>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3.技术资料</w:t>
      </w:r>
    </w:p>
    <w:p w14:paraId="195D231A">
      <w:pPr>
        <w:pStyle w:val="38"/>
        <w:shd w:val="clear" w:color="auto" w:fill="FFFFFF"/>
        <w:spacing w:before="0" w:beforeAutospacing="0" w:after="0" w:afterAutospacing="0" w:line="360" w:lineRule="auto"/>
        <w:ind w:left="1057" w:leftChars="228" w:hanging="578" w:hangingChars="241"/>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（1）乙方应将与货物相关的技术资料，包括并不限于目录索引、图纸、操作手册、使用指南、维修指南和／或服务手册和示意图等交付给甲方。</w:t>
      </w:r>
    </w:p>
    <w:p w14:paraId="2518565E">
      <w:pPr>
        <w:pStyle w:val="38"/>
        <w:shd w:val="clear" w:color="auto" w:fill="FFFFFF"/>
        <w:spacing w:before="0" w:beforeAutospacing="0" w:after="0" w:afterAutospacing="0" w:line="360" w:lineRule="auto"/>
        <w:ind w:left="1058" w:hanging="1058" w:hangingChars="441"/>
        <w:jc w:val="both"/>
        <w:rPr>
          <w:rFonts w:ascii="宋体" w:hAnsi="宋体"/>
          <w:b/>
          <w:bCs/>
          <w:color w:val="000000"/>
          <w:sz w:val="24"/>
          <w:szCs w:val="24"/>
          <w:shd w:val="clear" w:color="auto" w:fill="FFFFFF"/>
        </w:rPr>
      </w:pPr>
      <w:r>
        <w:rPr>
          <w:rFonts w:hint="eastAsia" w:ascii="宋体" w:hAnsi="宋体"/>
          <w:color w:val="000000"/>
          <w:sz w:val="24"/>
          <w:szCs w:val="24"/>
          <w:shd w:val="clear" w:color="auto" w:fill="FFFFFF"/>
        </w:rPr>
        <w:t xml:space="preserve">    （2）若乙方提供的技术资料不完整或在运输过程中出现损毁，乙方应自收到甲方通知后</w:t>
      </w:r>
      <w:r>
        <w:rPr>
          <w:rFonts w:hint="eastAsia" w:ascii="宋体" w:hAnsi="宋体"/>
          <w:color w:val="000000"/>
          <w:sz w:val="24"/>
          <w:szCs w:val="24"/>
          <w:u w:val="single"/>
          <w:shd w:val="clear" w:color="auto" w:fill="FFFFFF"/>
        </w:rPr>
        <w:t xml:space="preserve">    </w:t>
      </w:r>
      <w:r>
        <w:rPr>
          <w:rFonts w:hint="eastAsia" w:ascii="宋体" w:hAnsi="宋体"/>
          <w:color w:val="000000"/>
          <w:sz w:val="24"/>
          <w:szCs w:val="24"/>
          <w:shd w:val="clear" w:color="auto" w:fill="FFFFFF"/>
        </w:rPr>
        <w:t>天内将完整的技术资料交付给甲方。</w:t>
      </w:r>
    </w:p>
    <w:p w14:paraId="31B61749">
      <w:pPr>
        <w:pStyle w:val="38"/>
        <w:shd w:val="clear" w:color="auto" w:fill="FFFFFF"/>
        <w:spacing w:before="0" w:beforeAutospacing="0" w:after="0" w:afterAutospacing="0" w:line="360" w:lineRule="auto"/>
        <w:ind w:left="1063" w:hanging="1063" w:hangingChars="441"/>
        <w:jc w:val="both"/>
        <w:rPr>
          <w:rFonts w:ascii="宋体" w:hAnsi="宋体"/>
          <w:b/>
          <w:bCs/>
          <w:color w:val="000000"/>
          <w:sz w:val="24"/>
          <w:szCs w:val="24"/>
          <w:shd w:val="clear" w:color="auto" w:fill="FFFFFF"/>
        </w:rPr>
      </w:pPr>
      <w:r>
        <w:rPr>
          <w:rFonts w:hint="eastAsia" w:ascii="宋体" w:hAnsi="宋体"/>
          <w:b/>
          <w:bCs/>
          <w:color w:val="000000"/>
          <w:sz w:val="24"/>
          <w:szCs w:val="24"/>
          <w:shd w:val="clear" w:color="auto" w:fill="FFFFFF"/>
        </w:rPr>
        <w:t>第二条 数量和计量单位、计量方法</w:t>
      </w:r>
    </w:p>
    <w:p w14:paraId="31A81BC5">
      <w:pPr>
        <w:pStyle w:val="38"/>
        <w:shd w:val="clear" w:color="auto" w:fill="FFFFFF"/>
        <w:spacing w:before="0" w:beforeAutospacing="0" w:after="0" w:afterAutospacing="0" w:line="360" w:lineRule="auto"/>
        <w:ind w:firstLine="480"/>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1.数量：</w:t>
      </w:r>
      <w:r>
        <w:rPr>
          <w:rFonts w:hint="eastAsia" w:ascii="宋体" w:hAnsi="宋体"/>
          <w:color w:val="000000"/>
          <w:sz w:val="24"/>
          <w:szCs w:val="24"/>
          <w:u w:val="single"/>
          <w:shd w:val="clear" w:color="auto" w:fill="FFFFFF"/>
        </w:rPr>
        <w:t xml:space="preserve">                    </w:t>
      </w:r>
    </w:p>
    <w:p w14:paraId="193E1CA6">
      <w:pPr>
        <w:pStyle w:val="38"/>
        <w:shd w:val="clear" w:color="auto" w:fill="FFFFFF"/>
        <w:spacing w:before="0" w:beforeAutospacing="0" w:after="0" w:afterAutospacing="0" w:line="360" w:lineRule="auto"/>
        <w:ind w:firstLine="480"/>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2.计量单位和方法：</w:t>
      </w:r>
      <w:r>
        <w:rPr>
          <w:rFonts w:hint="eastAsia" w:ascii="宋体" w:hAnsi="宋体"/>
          <w:color w:val="000000"/>
          <w:sz w:val="24"/>
          <w:szCs w:val="24"/>
          <w:u w:val="single"/>
          <w:shd w:val="clear" w:color="auto" w:fill="FFFFFF"/>
        </w:rPr>
        <w:t xml:space="preserve">                         </w:t>
      </w:r>
    </w:p>
    <w:p w14:paraId="7EDDDC1A">
      <w:pPr>
        <w:pStyle w:val="38"/>
        <w:shd w:val="clear" w:color="auto" w:fill="FFFFFF"/>
        <w:spacing w:before="0" w:beforeAutospacing="0" w:after="0" w:afterAutospacing="0" w:line="360" w:lineRule="auto"/>
        <w:ind w:firstLine="480"/>
        <w:rPr>
          <w:rFonts w:ascii="宋体" w:hAnsi="宋体"/>
          <w:color w:val="000000"/>
          <w:sz w:val="24"/>
          <w:szCs w:val="24"/>
          <w:u w:val="single"/>
          <w:shd w:val="clear" w:color="auto" w:fill="FFFFFF"/>
        </w:rPr>
      </w:pPr>
      <w:r>
        <w:rPr>
          <w:rFonts w:hint="eastAsia" w:ascii="宋体" w:hAnsi="宋体"/>
          <w:color w:val="000000"/>
          <w:sz w:val="24"/>
          <w:szCs w:val="24"/>
          <w:shd w:val="clear" w:color="auto" w:fill="FFFFFF"/>
        </w:rPr>
        <w:t>3.交付货物数量的正负尾差、合理磅差和在途自然增（减）量规定及计算方法：</w:t>
      </w:r>
      <w:r>
        <w:rPr>
          <w:rFonts w:hint="eastAsia" w:ascii="宋体" w:hAnsi="宋体"/>
          <w:color w:val="000000"/>
          <w:sz w:val="24"/>
          <w:szCs w:val="24"/>
          <w:u w:val="single"/>
          <w:shd w:val="clear" w:color="auto" w:fill="FFFFFF"/>
        </w:rPr>
        <w:t xml:space="preserve">                                                             </w:t>
      </w:r>
      <w:r>
        <w:rPr>
          <w:rFonts w:hint="eastAsia" w:ascii="宋体" w:hAnsi="宋体"/>
          <w:color w:val="000000"/>
          <w:sz w:val="24"/>
          <w:szCs w:val="24"/>
          <w:shd w:val="clear" w:color="auto" w:fill="FFFFFF"/>
        </w:rPr>
        <w:t>。</w:t>
      </w:r>
    </w:p>
    <w:p w14:paraId="2051BC72">
      <w:pPr>
        <w:pStyle w:val="38"/>
        <w:shd w:val="clear" w:color="auto" w:fill="FFFFFF"/>
        <w:spacing w:before="0" w:beforeAutospacing="0" w:after="0" w:afterAutospacing="0" w:line="360" w:lineRule="auto"/>
        <w:rPr>
          <w:rFonts w:ascii="宋体" w:hAnsi="宋体"/>
          <w:b/>
          <w:bCs/>
          <w:color w:val="000000"/>
          <w:sz w:val="24"/>
          <w:szCs w:val="24"/>
          <w:shd w:val="clear" w:color="auto" w:fill="FFFFFF"/>
        </w:rPr>
      </w:pPr>
      <w:r>
        <w:rPr>
          <w:rFonts w:hint="eastAsia" w:ascii="宋体" w:hAnsi="宋体"/>
          <w:b/>
          <w:bCs/>
          <w:color w:val="000000"/>
          <w:sz w:val="24"/>
          <w:szCs w:val="24"/>
          <w:shd w:val="clear" w:color="auto" w:fill="FFFFFF"/>
        </w:rPr>
        <w:t>第三条 价格</w:t>
      </w:r>
    </w:p>
    <w:p w14:paraId="7AB72393">
      <w:pPr>
        <w:pStyle w:val="41"/>
        <w:snapToGrid w:val="0"/>
        <w:spacing w:after="0" w:line="360" w:lineRule="auto"/>
        <w:ind w:left="0" w:leftChars="0" w:firstLine="480"/>
        <w:rPr>
          <w:rFonts w:ascii="宋体" w:hAnsi="宋体" w:cs="Arial"/>
          <w:color w:val="000000"/>
          <w:kern w:val="0"/>
          <w:sz w:val="24"/>
          <w:szCs w:val="24"/>
          <w:shd w:val="clear" w:color="auto" w:fill="FFFFFF"/>
        </w:rPr>
      </w:pPr>
      <w:r>
        <w:rPr>
          <w:rFonts w:ascii="宋体" w:hAnsi="宋体" w:cs="Arial"/>
          <w:color w:val="000000"/>
          <w:kern w:val="0"/>
          <w:sz w:val="24"/>
          <w:szCs w:val="24"/>
          <w:shd w:val="clear" w:color="auto" w:fill="FFFFFF"/>
        </w:rPr>
        <w:t>1.</w:t>
      </w:r>
      <w:r>
        <w:rPr>
          <w:rFonts w:hint="eastAsia" w:ascii="宋体" w:hAnsi="宋体" w:cs="Arial"/>
          <w:color w:val="000000"/>
          <w:kern w:val="0"/>
          <w:sz w:val="24"/>
          <w:szCs w:val="24"/>
          <w:shd w:val="clear" w:color="auto" w:fill="FFFFFF"/>
        </w:rPr>
        <w:t>合同价款总额：人民币（大写）</w:t>
      </w:r>
      <w:r>
        <w:rPr>
          <w:rFonts w:ascii="宋体" w:hAnsi="宋体" w:cs="Arial"/>
          <w:color w:val="000000"/>
          <w:kern w:val="0"/>
          <w:sz w:val="24"/>
          <w:szCs w:val="24"/>
          <w:shd w:val="clear" w:color="auto" w:fill="FFFFFF"/>
        </w:rPr>
        <w:t xml:space="preserve">                  </w:t>
      </w:r>
      <w:r>
        <w:rPr>
          <w:rFonts w:hint="eastAsia" w:ascii="宋体" w:hAnsi="宋体" w:cs="Arial"/>
          <w:color w:val="000000"/>
          <w:kern w:val="0"/>
          <w:sz w:val="24"/>
          <w:szCs w:val="24"/>
          <w:shd w:val="clear" w:color="auto" w:fill="FFFFFF"/>
        </w:rPr>
        <w:t>（</w:t>
      </w:r>
      <w:r>
        <w:rPr>
          <w:rFonts w:ascii="宋体" w:hAnsi="宋体" w:cs="Arial"/>
          <w:color w:val="000000"/>
          <w:kern w:val="0"/>
          <w:sz w:val="24"/>
          <w:szCs w:val="24"/>
          <w:shd w:val="clear" w:color="auto" w:fill="FFFFFF"/>
        </w:rPr>
        <w:t xml:space="preserve">¥              </w:t>
      </w:r>
      <w:r>
        <w:rPr>
          <w:rFonts w:hint="eastAsia" w:ascii="宋体" w:hAnsi="宋体" w:cs="Arial"/>
          <w:color w:val="000000"/>
          <w:kern w:val="0"/>
          <w:sz w:val="24"/>
          <w:szCs w:val="24"/>
          <w:shd w:val="clear" w:color="auto" w:fill="FFFFFF"/>
        </w:rPr>
        <w:t>元</w:t>
      </w:r>
      <w:r>
        <w:rPr>
          <w:rFonts w:ascii="宋体" w:hAnsi="宋体" w:cs="Arial"/>
          <w:color w:val="000000"/>
          <w:kern w:val="0"/>
          <w:sz w:val="24"/>
          <w:szCs w:val="24"/>
          <w:shd w:val="clear" w:color="auto" w:fill="FFFFFF"/>
        </w:rPr>
        <w:t xml:space="preserve"> </w:t>
      </w:r>
      <w:r>
        <w:rPr>
          <w:rFonts w:hint="eastAsia" w:ascii="宋体" w:hAnsi="宋体" w:cs="Arial"/>
          <w:color w:val="000000"/>
          <w:kern w:val="0"/>
          <w:sz w:val="24"/>
          <w:szCs w:val="24"/>
          <w:shd w:val="clear" w:color="auto" w:fill="FFFFFF"/>
        </w:rPr>
        <w:t>）。</w:t>
      </w:r>
    </w:p>
    <w:p w14:paraId="5EDCA727">
      <w:pPr>
        <w:pStyle w:val="41"/>
        <w:snapToGrid w:val="0"/>
        <w:spacing w:after="0" w:line="360" w:lineRule="auto"/>
        <w:ind w:left="0" w:leftChars="0" w:firstLine="480"/>
        <w:rPr>
          <w:rFonts w:ascii="宋体" w:hAnsi="宋体" w:cs="Arial"/>
          <w:color w:val="000000"/>
          <w:kern w:val="0"/>
          <w:sz w:val="24"/>
          <w:szCs w:val="24"/>
          <w:shd w:val="clear" w:color="auto" w:fill="FFFFFF"/>
        </w:rPr>
      </w:pPr>
      <w:r>
        <w:rPr>
          <w:rFonts w:ascii="宋体" w:hAnsi="宋体" w:cs="Arial"/>
          <w:color w:val="000000"/>
          <w:kern w:val="0"/>
          <w:sz w:val="24"/>
          <w:szCs w:val="24"/>
          <w:shd w:val="clear" w:color="auto" w:fill="FFFFFF"/>
        </w:rPr>
        <w:t>2.</w:t>
      </w:r>
      <w:r>
        <w:rPr>
          <w:rFonts w:hint="eastAsia" w:ascii="宋体" w:hAnsi="宋体" w:cs="Arial"/>
          <w:color w:val="000000"/>
          <w:kern w:val="0"/>
          <w:sz w:val="24"/>
          <w:szCs w:val="24"/>
          <w:shd w:val="clear" w:color="auto" w:fill="FFFFFF"/>
        </w:rPr>
        <w:t>本合同价格包括货物购置和安装金额及运输等费用，是在货物交付前、交付时所发生或引起的本合同相关的全部成本、费用等，以及依约在交付后所需承担的质量担保等售后服务价格及合同实施过程中的应预见和不可预见费用等的总和，且为完税后价格。</w:t>
      </w:r>
    </w:p>
    <w:p w14:paraId="52055A9C">
      <w:pPr>
        <w:pStyle w:val="41"/>
        <w:snapToGrid w:val="0"/>
        <w:spacing w:after="0" w:line="360" w:lineRule="auto"/>
        <w:ind w:left="0" w:leftChars="0" w:firstLine="480"/>
        <w:rPr>
          <w:rFonts w:ascii="宋体" w:hAnsi="宋体" w:cs="Arial"/>
          <w:color w:val="000000"/>
          <w:kern w:val="0"/>
          <w:sz w:val="24"/>
          <w:szCs w:val="24"/>
          <w:shd w:val="clear" w:color="auto" w:fill="FFFFFF"/>
        </w:rPr>
      </w:pPr>
      <w:r>
        <w:rPr>
          <w:rFonts w:ascii="宋体" w:hAnsi="宋体" w:cs="Arial"/>
          <w:color w:val="000000"/>
          <w:kern w:val="0"/>
          <w:sz w:val="24"/>
          <w:szCs w:val="24"/>
          <w:shd w:val="clear" w:color="auto" w:fill="FFFFFF"/>
        </w:rPr>
        <w:t>3.</w:t>
      </w:r>
      <w:r>
        <w:rPr>
          <w:rFonts w:hint="eastAsia" w:ascii="宋体" w:hAnsi="宋体" w:cs="Arial"/>
          <w:color w:val="000000"/>
          <w:kern w:val="0"/>
          <w:sz w:val="24"/>
          <w:szCs w:val="24"/>
          <w:shd w:val="clear" w:color="auto" w:fill="FFFFFF"/>
        </w:rPr>
        <w:t>合同货物详细目录及价格见附件。</w:t>
      </w:r>
    </w:p>
    <w:p w14:paraId="3271EB8A">
      <w:pPr>
        <w:pStyle w:val="38"/>
        <w:shd w:val="clear" w:color="auto" w:fill="FFFFFF"/>
        <w:spacing w:before="0" w:beforeAutospacing="0" w:after="0" w:afterAutospacing="0" w:line="360" w:lineRule="auto"/>
        <w:jc w:val="both"/>
        <w:rPr>
          <w:rFonts w:ascii="宋体" w:hAnsi="宋体"/>
          <w:b/>
          <w:bCs/>
          <w:color w:val="000000"/>
          <w:sz w:val="24"/>
          <w:szCs w:val="24"/>
          <w:shd w:val="clear" w:color="auto" w:fill="FFFFFF"/>
        </w:rPr>
      </w:pPr>
      <w:r>
        <w:rPr>
          <w:rFonts w:hint="eastAsia" w:ascii="宋体" w:hAnsi="宋体"/>
          <w:b/>
          <w:bCs/>
          <w:color w:val="000000"/>
          <w:sz w:val="24"/>
          <w:szCs w:val="24"/>
          <w:shd w:val="clear" w:color="auto" w:fill="FFFFFF"/>
        </w:rPr>
        <w:t>第四条 付款方式</w:t>
      </w:r>
    </w:p>
    <w:p w14:paraId="5765D0F1">
      <w:pPr>
        <w:pStyle w:val="38"/>
        <w:shd w:val="clear" w:color="auto" w:fill="FFFFFF"/>
        <w:spacing w:before="0" w:beforeAutospacing="0" w:after="0" w:afterAutospacing="0" w:line="360" w:lineRule="auto"/>
        <w:ind w:firstLine="470" w:firstLineChars="196"/>
        <w:rPr>
          <w:rFonts w:ascii="宋体" w:hAnsi="宋体"/>
          <w:color w:val="000000"/>
          <w:sz w:val="24"/>
          <w:szCs w:val="24"/>
          <w:shd w:val="clear" w:color="auto" w:fill="FFFFFF"/>
        </w:rPr>
      </w:pPr>
      <w:r>
        <w:rPr>
          <w:rFonts w:hint="eastAsia" w:ascii="宋体" w:hAnsi="宋体"/>
          <w:color w:val="000000"/>
          <w:sz w:val="24"/>
          <w:szCs w:val="24"/>
          <w:shd w:val="clear" w:color="auto" w:fill="FFFFFF"/>
        </w:rPr>
        <w:t>1</w:t>
      </w:r>
      <w:r>
        <w:rPr>
          <w:rFonts w:ascii="宋体" w:hAnsi="宋体"/>
          <w:color w:val="000000"/>
          <w:sz w:val="24"/>
          <w:szCs w:val="24"/>
          <w:shd w:val="clear" w:color="auto" w:fill="FFFFFF"/>
        </w:rPr>
        <w:t>.</w:t>
      </w:r>
      <w:r>
        <w:rPr>
          <w:rFonts w:hint="eastAsia" w:ascii="宋体" w:hAnsi="宋体"/>
          <w:color w:val="000000"/>
          <w:sz w:val="24"/>
          <w:szCs w:val="24"/>
          <w:shd w:val="clear" w:color="auto" w:fill="FFFFFF"/>
        </w:rPr>
        <w:t>自本合同生效之日起</w:t>
      </w:r>
      <w:r>
        <w:rPr>
          <w:rFonts w:ascii="宋体" w:hAnsi="宋体"/>
          <w:color w:val="000000"/>
          <w:sz w:val="24"/>
          <w:szCs w:val="24"/>
          <w:u w:val="single"/>
          <w:shd w:val="clear" w:color="auto" w:fill="FFFFFF"/>
        </w:rPr>
        <w:t>10</w:t>
      </w:r>
      <w:r>
        <w:rPr>
          <w:rFonts w:hint="eastAsia" w:ascii="宋体" w:hAnsi="宋体"/>
          <w:color w:val="000000"/>
          <w:sz w:val="24"/>
          <w:szCs w:val="24"/>
          <w:shd w:val="clear" w:color="auto" w:fill="FFFFFF"/>
        </w:rPr>
        <w:t>个工作日内，甲方应向乙方支付合同价款总额的</w:t>
      </w:r>
      <w:r>
        <w:rPr>
          <w:rFonts w:ascii="宋体" w:hAnsi="宋体"/>
          <w:color w:val="000000"/>
          <w:sz w:val="24"/>
          <w:szCs w:val="24"/>
          <w:u w:val="single"/>
          <w:shd w:val="clear" w:color="auto" w:fill="FFFFFF"/>
        </w:rPr>
        <w:t>30</w:t>
      </w:r>
      <w:r>
        <w:rPr>
          <w:rFonts w:hint="eastAsia" w:ascii="宋体" w:hAnsi="宋体"/>
          <w:color w:val="000000"/>
          <w:sz w:val="24"/>
          <w:szCs w:val="24"/>
          <w:shd w:val="clear" w:color="auto" w:fill="FFFFFF"/>
        </w:rPr>
        <w:t>%，即人民币（大写）</w:t>
      </w:r>
      <w:r>
        <w:rPr>
          <w:rFonts w:hint="eastAsia" w:ascii="宋体" w:hAnsi="宋体"/>
          <w:color w:val="000000"/>
          <w:sz w:val="24"/>
          <w:szCs w:val="24"/>
          <w:u w:val="single"/>
          <w:shd w:val="clear" w:color="auto" w:fill="FFFFFF"/>
        </w:rPr>
        <w:t xml:space="preserve"> </w:t>
      </w:r>
      <w:r>
        <w:rPr>
          <w:rFonts w:ascii="宋体" w:hAnsi="宋体"/>
          <w:color w:val="000000"/>
          <w:sz w:val="24"/>
          <w:szCs w:val="24"/>
          <w:u w:val="single"/>
          <w:shd w:val="clear" w:color="auto" w:fill="FFFFFF"/>
        </w:rPr>
        <w:t xml:space="preserve">    </w:t>
      </w:r>
      <w:r>
        <w:rPr>
          <w:rFonts w:hint="eastAsia" w:ascii="宋体" w:hAnsi="宋体"/>
          <w:color w:val="000000"/>
          <w:sz w:val="24"/>
          <w:szCs w:val="24"/>
          <w:shd w:val="clear" w:color="auto" w:fill="FFFFFF"/>
        </w:rPr>
        <w:t>元（¥</w:t>
      </w:r>
      <w:r>
        <w:rPr>
          <w:rFonts w:hint="eastAsia" w:ascii="宋体" w:hAnsi="宋体"/>
          <w:color w:val="000000"/>
          <w:sz w:val="24"/>
          <w:szCs w:val="24"/>
          <w:u w:val="single"/>
          <w:shd w:val="clear" w:color="auto" w:fill="FFFFFF"/>
        </w:rPr>
        <w:t xml:space="preserve"> </w:t>
      </w:r>
      <w:r>
        <w:rPr>
          <w:rFonts w:ascii="宋体" w:hAnsi="宋体"/>
          <w:color w:val="000000"/>
          <w:sz w:val="24"/>
          <w:szCs w:val="24"/>
          <w:u w:val="single"/>
          <w:shd w:val="clear" w:color="auto" w:fill="FFFFFF"/>
        </w:rPr>
        <w:t xml:space="preserve">    </w:t>
      </w:r>
      <w:r>
        <w:rPr>
          <w:rFonts w:hint="eastAsia" w:ascii="宋体" w:hAnsi="宋体"/>
          <w:color w:val="000000"/>
          <w:sz w:val="24"/>
          <w:szCs w:val="24"/>
          <w:shd w:val="clear" w:color="auto" w:fill="FFFFFF"/>
        </w:rPr>
        <w:t>）。</w:t>
      </w:r>
    </w:p>
    <w:p w14:paraId="780D9626">
      <w:pPr>
        <w:pStyle w:val="38"/>
        <w:shd w:val="clear" w:color="auto" w:fill="FFFFFF"/>
        <w:spacing w:before="0" w:beforeAutospacing="0" w:after="0" w:afterAutospacing="0" w:line="360" w:lineRule="auto"/>
        <w:ind w:firstLine="470" w:firstLineChars="196"/>
        <w:rPr>
          <w:rFonts w:ascii="宋体" w:hAnsi="宋体"/>
          <w:color w:val="000000"/>
          <w:sz w:val="24"/>
          <w:szCs w:val="24"/>
          <w:shd w:val="clear" w:color="auto" w:fill="FFFFFF"/>
        </w:rPr>
      </w:pPr>
      <w:r>
        <w:rPr>
          <w:rFonts w:hint="eastAsia" w:ascii="宋体" w:hAnsi="宋体"/>
          <w:color w:val="000000"/>
          <w:sz w:val="24"/>
          <w:szCs w:val="24"/>
          <w:shd w:val="clear" w:color="auto" w:fill="FFFFFF"/>
        </w:rPr>
        <w:t>2</w:t>
      </w:r>
      <w:r>
        <w:rPr>
          <w:rFonts w:ascii="宋体" w:hAnsi="宋体"/>
          <w:color w:val="000000"/>
          <w:sz w:val="24"/>
          <w:szCs w:val="24"/>
          <w:shd w:val="clear" w:color="auto" w:fill="FFFFFF"/>
        </w:rPr>
        <w:t>.</w:t>
      </w:r>
      <w:r>
        <w:rPr>
          <w:rFonts w:hint="eastAsia" w:ascii="宋体" w:hAnsi="宋体"/>
          <w:color w:val="000000"/>
          <w:sz w:val="24"/>
          <w:szCs w:val="24"/>
          <w:shd w:val="clear" w:color="auto" w:fill="FFFFFF"/>
        </w:rPr>
        <w:t>货物交付且安装调试完成、验收合格后，</w:t>
      </w:r>
      <w:r>
        <w:rPr>
          <w:rFonts w:hint="eastAsia" w:ascii="宋体" w:hAnsi="宋体" w:cs="宋体"/>
          <w:color w:val="000000"/>
          <w:sz w:val="24"/>
          <w:szCs w:val="24"/>
          <w:shd w:val="clear" w:color="auto" w:fill="FFFFFF"/>
        </w:rPr>
        <w:t>乙方向甲方出具合同价款总额的增值税专用发票，并向甲方支付合同价款总额的</w:t>
      </w:r>
      <w:r>
        <w:rPr>
          <w:rFonts w:ascii="宋体" w:hAnsi="宋体" w:cs="宋体"/>
          <w:color w:val="000000"/>
          <w:sz w:val="24"/>
          <w:szCs w:val="24"/>
          <w:shd w:val="clear" w:color="auto" w:fill="FFFFFF"/>
        </w:rPr>
        <w:t>5</w:t>
      </w:r>
      <w:r>
        <w:rPr>
          <w:rFonts w:hint="eastAsia" w:ascii="宋体" w:hAnsi="宋体" w:cs="宋体"/>
          <w:color w:val="000000"/>
          <w:sz w:val="24"/>
          <w:szCs w:val="24"/>
          <w:shd w:val="clear" w:color="auto" w:fill="FFFFFF"/>
        </w:rPr>
        <w:t xml:space="preserve">%作为质量保证金，即人民币（大写） </w:t>
      </w:r>
      <w:r>
        <w:rPr>
          <w:rFonts w:ascii="宋体" w:hAnsi="宋体" w:cs="宋体"/>
          <w:color w:val="000000"/>
          <w:sz w:val="24"/>
          <w:szCs w:val="24"/>
          <w:shd w:val="clear" w:color="auto" w:fill="FFFFFF"/>
        </w:rPr>
        <w:t xml:space="preserve">      </w:t>
      </w:r>
      <w:r>
        <w:rPr>
          <w:rFonts w:hint="eastAsia" w:ascii="宋体" w:hAnsi="宋体" w:cs="宋体"/>
          <w:color w:val="000000"/>
          <w:sz w:val="24"/>
          <w:szCs w:val="24"/>
          <w:shd w:val="clear" w:color="auto" w:fill="FFFFFF"/>
        </w:rPr>
        <w:t>元（¥</w:t>
      </w:r>
      <w:r>
        <w:rPr>
          <w:rFonts w:ascii="宋体" w:hAnsi="宋体" w:cs="宋体"/>
          <w:color w:val="000000"/>
          <w:sz w:val="24"/>
          <w:szCs w:val="24"/>
          <w:shd w:val="clear" w:color="auto" w:fill="FFFFFF"/>
        </w:rPr>
        <w:t xml:space="preserve">      </w:t>
      </w:r>
      <w:r>
        <w:rPr>
          <w:rFonts w:hint="eastAsia" w:ascii="宋体" w:hAnsi="宋体" w:cs="宋体"/>
          <w:color w:val="000000"/>
          <w:sz w:val="24"/>
          <w:szCs w:val="24"/>
          <w:shd w:val="clear" w:color="auto" w:fill="FFFFFF"/>
        </w:rPr>
        <w:t>元）。甲方收到乙方发票及质量保证金1</w:t>
      </w:r>
      <w:r>
        <w:rPr>
          <w:rFonts w:ascii="宋体" w:hAnsi="宋体" w:cs="宋体"/>
          <w:color w:val="000000"/>
          <w:sz w:val="24"/>
          <w:szCs w:val="24"/>
          <w:shd w:val="clear" w:color="auto" w:fill="FFFFFF"/>
        </w:rPr>
        <w:t>0</w:t>
      </w:r>
      <w:r>
        <w:rPr>
          <w:rFonts w:hint="eastAsia" w:ascii="宋体" w:hAnsi="宋体" w:cs="宋体"/>
          <w:color w:val="000000"/>
          <w:sz w:val="24"/>
          <w:szCs w:val="24"/>
          <w:shd w:val="clear" w:color="auto" w:fill="FFFFFF"/>
        </w:rPr>
        <w:t>个工作日内，甲方向乙方支付合同价款总额的</w:t>
      </w:r>
      <w:r>
        <w:rPr>
          <w:rFonts w:ascii="宋体" w:hAnsi="宋体" w:cs="宋体"/>
          <w:color w:val="000000"/>
          <w:sz w:val="24"/>
          <w:szCs w:val="24"/>
          <w:shd w:val="clear" w:color="auto" w:fill="FFFFFF"/>
        </w:rPr>
        <w:t>7</w:t>
      </w:r>
      <w:r>
        <w:rPr>
          <w:rFonts w:hint="eastAsia" w:ascii="宋体" w:hAnsi="宋体" w:cs="宋体"/>
          <w:color w:val="000000"/>
          <w:sz w:val="24"/>
          <w:szCs w:val="24"/>
          <w:shd w:val="clear" w:color="auto" w:fill="FFFFFF"/>
        </w:rPr>
        <w:t xml:space="preserve">0%，即人民币（大写） </w:t>
      </w:r>
      <w:r>
        <w:rPr>
          <w:rFonts w:ascii="宋体" w:hAnsi="宋体" w:cs="宋体"/>
          <w:color w:val="000000"/>
          <w:sz w:val="24"/>
          <w:szCs w:val="24"/>
          <w:shd w:val="clear" w:color="auto" w:fill="FFFFFF"/>
        </w:rPr>
        <w:t xml:space="preserve">     </w:t>
      </w:r>
      <w:r>
        <w:rPr>
          <w:rFonts w:hint="eastAsia" w:ascii="宋体" w:hAnsi="宋体" w:cs="宋体"/>
          <w:color w:val="000000"/>
          <w:sz w:val="24"/>
          <w:szCs w:val="24"/>
          <w:shd w:val="clear" w:color="auto" w:fill="FFFFFF"/>
        </w:rPr>
        <w:t xml:space="preserve"> 元（¥ </w:t>
      </w:r>
      <w:r>
        <w:rPr>
          <w:rFonts w:ascii="宋体" w:hAnsi="宋体" w:cs="宋体"/>
          <w:color w:val="000000"/>
          <w:sz w:val="24"/>
          <w:szCs w:val="24"/>
          <w:shd w:val="clear" w:color="auto" w:fill="FFFFFF"/>
        </w:rPr>
        <w:t xml:space="preserve">        </w:t>
      </w:r>
      <w:r>
        <w:rPr>
          <w:rFonts w:hint="eastAsia" w:ascii="宋体" w:hAnsi="宋体" w:cs="宋体"/>
          <w:color w:val="000000"/>
          <w:sz w:val="24"/>
          <w:szCs w:val="24"/>
          <w:shd w:val="clear" w:color="auto" w:fill="FFFFFF"/>
        </w:rPr>
        <w:t xml:space="preserve">元 ）。 </w:t>
      </w:r>
      <w:r>
        <w:rPr>
          <w:rFonts w:hint="eastAsia" w:ascii="宋体" w:hAnsi="宋体"/>
          <w:color w:val="000000"/>
          <w:sz w:val="24"/>
          <w:szCs w:val="24"/>
          <w:shd w:val="clear" w:color="auto" w:fill="FFFFFF"/>
        </w:rPr>
        <w:t>若乙方未出现违反本合同第八条规定之情形，则自质保期满之日起</w:t>
      </w:r>
      <w:r>
        <w:rPr>
          <w:rFonts w:ascii="宋体" w:hAnsi="宋体"/>
          <w:color w:val="000000"/>
          <w:sz w:val="24"/>
          <w:szCs w:val="24"/>
          <w:u w:val="single"/>
          <w:shd w:val="clear" w:color="auto" w:fill="FFFFFF"/>
        </w:rPr>
        <w:t>10</w:t>
      </w:r>
      <w:r>
        <w:rPr>
          <w:rFonts w:hint="eastAsia" w:ascii="宋体" w:hAnsi="宋体"/>
          <w:color w:val="000000"/>
          <w:sz w:val="24"/>
          <w:szCs w:val="24"/>
          <w:shd w:val="clear" w:color="auto" w:fill="FFFFFF"/>
        </w:rPr>
        <w:t>个工作日内，甲方应将质量保证金支付给乙方。</w:t>
      </w:r>
    </w:p>
    <w:p w14:paraId="3C461F86">
      <w:pPr>
        <w:pStyle w:val="38"/>
        <w:shd w:val="clear" w:color="auto" w:fill="FFFFFF"/>
        <w:spacing w:before="0" w:beforeAutospacing="0" w:after="0" w:afterAutospacing="0" w:line="360" w:lineRule="auto"/>
        <w:jc w:val="both"/>
        <w:rPr>
          <w:rFonts w:ascii="宋体" w:hAnsi="宋体"/>
          <w:b/>
          <w:bCs/>
          <w:color w:val="000000"/>
          <w:sz w:val="24"/>
          <w:szCs w:val="24"/>
          <w:shd w:val="clear" w:color="auto" w:fill="FFFFFF"/>
        </w:rPr>
      </w:pPr>
      <w:r>
        <w:rPr>
          <w:rFonts w:hint="eastAsia" w:ascii="宋体" w:hAnsi="宋体"/>
          <w:b/>
          <w:bCs/>
          <w:color w:val="000000"/>
          <w:sz w:val="24"/>
          <w:szCs w:val="24"/>
          <w:shd w:val="clear" w:color="auto" w:fill="FFFFFF"/>
        </w:rPr>
        <w:t>第五条 包装要求</w:t>
      </w:r>
    </w:p>
    <w:p w14:paraId="69342AEC">
      <w:pPr>
        <w:pStyle w:val="38"/>
        <w:shd w:val="clear" w:color="auto" w:fill="FFFFFF"/>
        <w:spacing w:before="0" w:beforeAutospacing="0" w:after="0" w:afterAutospacing="0" w:line="360" w:lineRule="auto"/>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 xml:space="preserve">    1.包装方式按下列第（ ）项执行：</w:t>
      </w:r>
    </w:p>
    <w:p w14:paraId="115F985F">
      <w:pPr>
        <w:pStyle w:val="38"/>
        <w:numPr>
          <w:ilvl w:val="0"/>
          <w:numId w:val="12"/>
        </w:numPr>
        <w:shd w:val="clear" w:color="auto" w:fill="FFFFFF"/>
        <w:spacing w:before="0" w:beforeAutospacing="0" w:after="0" w:afterAutospacing="0" w:line="360" w:lineRule="auto"/>
        <w:ind w:left="1058" w:leftChars="200" w:hanging="638" w:hangingChars="266"/>
        <w:jc w:val="both"/>
        <w:rPr>
          <w:rFonts w:ascii="宋体" w:hAnsi="宋体"/>
          <w:color w:val="000000"/>
          <w:sz w:val="24"/>
          <w:szCs w:val="24"/>
          <w:shd w:val="clear" w:color="auto" w:fill="FFFFFF"/>
        </w:rPr>
      </w:pPr>
      <w:r>
        <w:rPr>
          <w:rFonts w:hint="eastAsia" w:ascii="宋体" w:hAnsi="宋体"/>
          <w:color w:val="000000"/>
          <w:sz w:val="24"/>
          <w:szCs w:val="24"/>
        </w:rPr>
        <w:t>采用本行业通用的方式或国家标准进行包装，且该包装应符合国家有关法律、法规的规定。</w:t>
      </w:r>
    </w:p>
    <w:p w14:paraId="1B6538EC">
      <w:pPr>
        <w:pStyle w:val="38"/>
        <w:numPr>
          <w:ilvl w:val="0"/>
          <w:numId w:val="12"/>
        </w:numPr>
        <w:shd w:val="clear" w:color="auto" w:fill="FFFFFF"/>
        <w:spacing w:before="0" w:beforeAutospacing="0" w:after="0" w:afterAutospacing="0" w:line="360" w:lineRule="auto"/>
        <w:ind w:left="1058" w:leftChars="200" w:hanging="638" w:hangingChars="266"/>
        <w:rPr>
          <w:rFonts w:ascii="宋体" w:hAnsi="宋体"/>
          <w:color w:val="000000"/>
          <w:sz w:val="24"/>
          <w:szCs w:val="24"/>
          <w:shd w:val="clear" w:color="auto" w:fill="FFFFFF"/>
        </w:rPr>
      </w:pPr>
      <w:r>
        <w:rPr>
          <w:rFonts w:hint="eastAsia" w:ascii="宋体" w:hAnsi="宋体"/>
          <w:color w:val="000000"/>
          <w:sz w:val="24"/>
          <w:szCs w:val="24"/>
          <w:shd w:val="clear" w:color="auto" w:fill="FFFFFF"/>
        </w:rPr>
        <w:t>双方约定包装方式：</w:t>
      </w:r>
      <w:r>
        <w:rPr>
          <w:rFonts w:hint="eastAsia" w:ascii="宋体" w:hAnsi="宋体"/>
          <w:color w:val="000000"/>
          <w:sz w:val="24"/>
          <w:szCs w:val="24"/>
          <w:u w:val="single"/>
          <w:shd w:val="clear" w:color="auto" w:fill="FFFFFF"/>
        </w:rPr>
        <w:t xml:space="preserve">                                          </w:t>
      </w:r>
    </w:p>
    <w:p w14:paraId="1545895B">
      <w:pPr>
        <w:pStyle w:val="38"/>
        <w:shd w:val="clear" w:color="auto" w:fill="FFFFFF"/>
        <w:spacing w:before="0" w:beforeAutospacing="0" w:after="0" w:afterAutospacing="0" w:line="360" w:lineRule="auto"/>
        <w:ind w:firstLine="960" w:firstLineChars="400"/>
        <w:rPr>
          <w:rFonts w:ascii="宋体" w:hAnsi="宋体"/>
          <w:color w:val="000000"/>
          <w:sz w:val="24"/>
          <w:szCs w:val="24"/>
          <w:shd w:val="clear" w:color="auto" w:fill="FFFFFF"/>
        </w:rPr>
      </w:pPr>
      <w:r>
        <w:rPr>
          <w:rFonts w:hint="eastAsia" w:ascii="宋体" w:hAnsi="宋体"/>
          <w:color w:val="000000"/>
          <w:sz w:val="24"/>
          <w:szCs w:val="24"/>
          <w:shd w:val="clear" w:color="auto" w:fill="FFFFFF"/>
        </w:rPr>
        <w:t>（包装标准应具体可行，注明包装材料由谁供应，包装费用由谁负担）</w:t>
      </w:r>
    </w:p>
    <w:p w14:paraId="27B336CF">
      <w:pPr>
        <w:pStyle w:val="38"/>
        <w:shd w:val="clear" w:color="auto" w:fill="FFFFFF"/>
        <w:spacing w:before="0" w:beforeAutospacing="0" w:after="0" w:afterAutospacing="0" w:line="360" w:lineRule="auto"/>
        <w:ind w:firstLine="420"/>
        <w:jc w:val="both"/>
        <w:rPr>
          <w:rFonts w:ascii="宋体" w:hAnsi="宋体"/>
          <w:color w:val="000000"/>
          <w:sz w:val="24"/>
          <w:szCs w:val="24"/>
        </w:rPr>
      </w:pPr>
      <w:r>
        <w:rPr>
          <w:rFonts w:hint="eastAsia" w:ascii="宋体" w:hAnsi="宋体"/>
          <w:color w:val="000000"/>
          <w:sz w:val="24"/>
          <w:szCs w:val="24"/>
        </w:rPr>
        <w:t xml:space="preserve"> 2.包装应适应于远距离运输、防潮、防震、防锈和防粗暴装卸，确保货物安全无损，运抵现场。由于包装不善所引起的货物锈蚀、损坏和损失均由乙方承担。</w:t>
      </w:r>
    </w:p>
    <w:p w14:paraId="214A795E">
      <w:pPr>
        <w:pStyle w:val="38"/>
        <w:shd w:val="clear" w:color="auto" w:fill="FFFFFF"/>
        <w:spacing w:before="0" w:beforeAutospacing="0" w:after="0" w:afterAutospacing="0" w:line="360" w:lineRule="auto"/>
        <w:jc w:val="both"/>
        <w:rPr>
          <w:rFonts w:ascii="宋体" w:hAnsi="宋体"/>
          <w:b/>
          <w:bCs/>
          <w:color w:val="000000"/>
          <w:sz w:val="24"/>
          <w:szCs w:val="24"/>
        </w:rPr>
      </w:pPr>
      <w:r>
        <w:rPr>
          <w:rFonts w:hint="eastAsia" w:ascii="宋体" w:hAnsi="宋体"/>
          <w:b/>
          <w:bCs/>
          <w:color w:val="000000"/>
          <w:sz w:val="24"/>
          <w:szCs w:val="24"/>
          <w:shd w:val="clear" w:color="auto" w:fill="FFFFFF"/>
        </w:rPr>
        <w:t>第六条 交付方式：</w:t>
      </w:r>
    </w:p>
    <w:p w14:paraId="411EE0A4">
      <w:pPr>
        <w:pStyle w:val="38"/>
        <w:shd w:val="clear" w:color="auto" w:fill="FFFFFF"/>
        <w:spacing w:before="0" w:beforeAutospacing="0" w:after="0" w:afterAutospacing="0" w:line="360" w:lineRule="auto"/>
        <w:ind w:firstLine="480"/>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1.自本合同生效之日起</w:t>
      </w:r>
      <w:r>
        <w:rPr>
          <w:rFonts w:hint="eastAsia" w:ascii="宋体" w:hAnsi="宋体"/>
          <w:color w:val="000000"/>
          <w:sz w:val="24"/>
          <w:szCs w:val="24"/>
          <w:u w:val="single"/>
          <w:shd w:val="clear" w:color="auto" w:fill="FFFFFF"/>
        </w:rPr>
        <w:t xml:space="preserve">    </w:t>
      </w:r>
      <w:r>
        <w:rPr>
          <w:rFonts w:hint="eastAsia" w:ascii="宋体" w:hAnsi="宋体"/>
          <w:color w:val="000000"/>
          <w:sz w:val="24"/>
          <w:szCs w:val="24"/>
          <w:shd w:val="clear" w:color="auto" w:fill="FFFFFF"/>
        </w:rPr>
        <w:t>天内（即</w:t>
      </w:r>
      <w:r>
        <w:rPr>
          <w:rFonts w:hint="eastAsia" w:ascii="宋体" w:hAnsi="宋体"/>
          <w:color w:val="000000"/>
          <w:sz w:val="24"/>
          <w:szCs w:val="24"/>
          <w:u w:val="single"/>
          <w:shd w:val="clear" w:color="auto" w:fill="FFFFFF"/>
        </w:rPr>
        <w:t xml:space="preserve">     </w:t>
      </w:r>
      <w:r>
        <w:rPr>
          <w:rFonts w:hint="eastAsia" w:ascii="宋体" w:hAnsi="宋体"/>
          <w:color w:val="000000"/>
          <w:sz w:val="24"/>
          <w:szCs w:val="24"/>
          <w:shd w:val="clear" w:color="auto" w:fill="FFFFFF"/>
        </w:rPr>
        <w:t>年</w:t>
      </w:r>
      <w:r>
        <w:rPr>
          <w:rFonts w:hint="eastAsia" w:ascii="宋体" w:hAnsi="宋体"/>
          <w:color w:val="000000"/>
          <w:sz w:val="24"/>
          <w:szCs w:val="24"/>
          <w:u w:val="single"/>
          <w:shd w:val="clear" w:color="auto" w:fill="FFFFFF"/>
        </w:rPr>
        <w:t xml:space="preserve">  </w:t>
      </w:r>
      <w:r>
        <w:rPr>
          <w:rFonts w:hint="eastAsia" w:ascii="宋体" w:hAnsi="宋体"/>
          <w:color w:val="000000"/>
          <w:sz w:val="24"/>
          <w:szCs w:val="24"/>
          <w:shd w:val="clear" w:color="auto" w:fill="FFFFFF"/>
        </w:rPr>
        <w:t>月</w:t>
      </w:r>
      <w:r>
        <w:rPr>
          <w:rFonts w:hint="eastAsia" w:ascii="宋体" w:hAnsi="宋体"/>
          <w:color w:val="000000"/>
          <w:sz w:val="24"/>
          <w:szCs w:val="24"/>
          <w:u w:val="single"/>
          <w:shd w:val="clear" w:color="auto" w:fill="FFFFFF"/>
        </w:rPr>
        <w:t xml:space="preserve">  </w:t>
      </w:r>
      <w:r>
        <w:rPr>
          <w:rFonts w:hint="eastAsia" w:ascii="宋体" w:hAnsi="宋体"/>
          <w:color w:val="000000"/>
          <w:sz w:val="24"/>
          <w:szCs w:val="24"/>
          <w:shd w:val="clear" w:color="auto" w:fill="FFFFFF"/>
        </w:rPr>
        <w:t>日之前），乙方应向甲方交付本合同约定的货物，完成安装、调试服务工作。</w:t>
      </w:r>
    </w:p>
    <w:p w14:paraId="589CD715">
      <w:pPr>
        <w:pStyle w:val="38"/>
        <w:shd w:val="clear" w:color="auto" w:fill="FFFFFF"/>
        <w:spacing w:before="0" w:beforeAutospacing="0" w:after="0" w:afterAutospacing="0" w:line="360" w:lineRule="auto"/>
        <w:ind w:firstLine="480"/>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 xml:space="preserve">2.交付方式： </w:t>
      </w:r>
    </w:p>
    <w:p w14:paraId="13F422DD">
      <w:pPr>
        <w:pStyle w:val="38"/>
        <w:shd w:val="clear" w:color="auto" w:fill="FFFFFF"/>
        <w:spacing w:before="0" w:beforeAutospacing="0" w:after="0" w:afterAutospacing="0" w:line="360" w:lineRule="auto"/>
        <w:ind w:firstLine="600" w:firstLineChars="250"/>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（1）乙方负责办理运输和保险，将货物运抵甲方指定地点。</w:t>
      </w:r>
    </w:p>
    <w:p w14:paraId="17EA30C9">
      <w:pPr>
        <w:pStyle w:val="38"/>
        <w:shd w:val="clear" w:color="auto" w:fill="FFFFFF"/>
        <w:spacing w:before="0" w:beforeAutospacing="0" w:after="0" w:afterAutospacing="0" w:line="360" w:lineRule="auto"/>
        <w:ind w:left="1258" w:leftChars="304" w:hanging="620"/>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（2）经甲方核对无误，双方签署收货单。收货单一式贰份，甲方和乙方各执壹份。</w:t>
      </w:r>
    </w:p>
    <w:p w14:paraId="0E5E40DA">
      <w:pPr>
        <w:pStyle w:val="38"/>
        <w:shd w:val="clear" w:color="auto" w:fill="FFFFFF"/>
        <w:spacing w:before="0" w:beforeAutospacing="0" w:after="0" w:afterAutospacing="0" w:line="360" w:lineRule="auto"/>
        <w:ind w:left="1258" w:leftChars="304" w:hanging="620"/>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（3）乙方应在交付日</w:t>
      </w:r>
      <w:r>
        <w:rPr>
          <w:rFonts w:hint="eastAsia" w:ascii="宋体" w:hAnsi="宋体"/>
          <w:color w:val="000000"/>
          <w:sz w:val="24"/>
          <w:szCs w:val="24"/>
          <w:u w:val="single"/>
          <w:shd w:val="clear" w:color="auto" w:fill="FFFFFF"/>
        </w:rPr>
        <w:t xml:space="preserve"> 10 </w:t>
      </w:r>
      <w:r>
        <w:rPr>
          <w:rFonts w:hint="eastAsia" w:ascii="宋体" w:hAnsi="宋体"/>
          <w:color w:val="000000"/>
          <w:sz w:val="24"/>
          <w:szCs w:val="24"/>
          <w:shd w:val="clear" w:color="auto" w:fill="FFFFFF"/>
        </w:rPr>
        <w:t>天前，使用传真或电子邮件等书面形式向甲方提出交付计划（内容包括：合同号、货物名称、数量、是否分批交货、包装箱件数、总体积和备妥交货日期等其他必要的说明），双方商定交付具体日期。</w:t>
      </w:r>
    </w:p>
    <w:p w14:paraId="50EA96A7">
      <w:pPr>
        <w:pStyle w:val="38"/>
        <w:shd w:val="clear" w:color="auto" w:fill="FFFFFF"/>
        <w:spacing w:before="0" w:beforeAutospacing="0" w:after="0" w:afterAutospacing="0" w:line="360" w:lineRule="auto"/>
        <w:ind w:left="1258" w:leftChars="304" w:hanging="620"/>
        <w:jc w:val="both"/>
        <w:rPr>
          <w:rFonts w:ascii="宋体" w:hAnsi="宋体"/>
          <w:color w:val="000000"/>
          <w:sz w:val="24"/>
          <w:szCs w:val="24"/>
          <w:u w:val="single"/>
          <w:shd w:val="clear" w:color="auto" w:fill="FFFFFF"/>
        </w:rPr>
      </w:pPr>
      <w:r>
        <w:rPr>
          <w:rFonts w:hint="eastAsia" w:ascii="宋体" w:hAnsi="宋体"/>
          <w:color w:val="000000"/>
          <w:sz w:val="24"/>
          <w:szCs w:val="24"/>
          <w:shd w:val="clear" w:color="auto" w:fill="FFFFFF"/>
        </w:rPr>
        <w:t>3.培训形式与时间:</w:t>
      </w:r>
      <w:r>
        <w:rPr>
          <w:rFonts w:hint="eastAsia" w:ascii="宋体" w:hAnsi="宋体"/>
          <w:color w:val="000000"/>
          <w:sz w:val="24"/>
          <w:szCs w:val="24"/>
          <w:u w:val="single"/>
          <w:shd w:val="clear" w:color="auto" w:fill="FFFFFF"/>
        </w:rPr>
        <w:t xml:space="preserve">                                               </w:t>
      </w:r>
    </w:p>
    <w:p w14:paraId="52A26BFE">
      <w:pPr>
        <w:pStyle w:val="38"/>
        <w:shd w:val="clear" w:color="auto" w:fill="FFFFFF"/>
        <w:spacing w:before="0" w:beforeAutospacing="0" w:after="0" w:afterAutospacing="0" w:line="360" w:lineRule="auto"/>
        <w:jc w:val="both"/>
        <w:rPr>
          <w:rFonts w:ascii="宋体" w:hAnsi="宋体"/>
          <w:b/>
          <w:bCs/>
          <w:color w:val="000000"/>
          <w:sz w:val="24"/>
          <w:szCs w:val="24"/>
          <w:shd w:val="clear" w:color="auto" w:fill="FFFFFF"/>
        </w:rPr>
      </w:pPr>
      <w:r>
        <w:rPr>
          <w:rFonts w:hint="eastAsia" w:ascii="宋体" w:hAnsi="宋体"/>
          <w:b/>
          <w:bCs/>
          <w:color w:val="000000"/>
          <w:sz w:val="24"/>
          <w:szCs w:val="24"/>
          <w:shd w:val="clear" w:color="auto" w:fill="FFFFFF"/>
        </w:rPr>
        <w:t>第七条 验收</w:t>
      </w:r>
    </w:p>
    <w:p w14:paraId="3C15DB9F">
      <w:pPr>
        <w:pStyle w:val="38"/>
        <w:shd w:val="clear" w:color="auto" w:fill="FFFFFF"/>
        <w:spacing w:before="0" w:beforeAutospacing="0" w:after="0" w:afterAutospacing="0" w:line="360" w:lineRule="auto"/>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 xml:space="preserve">    1.自交付之日起</w:t>
      </w:r>
      <w:r>
        <w:rPr>
          <w:rFonts w:hint="eastAsia" w:ascii="宋体" w:hAnsi="宋体"/>
          <w:color w:val="000000"/>
          <w:sz w:val="24"/>
          <w:szCs w:val="24"/>
          <w:u w:val="single"/>
          <w:shd w:val="clear" w:color="auto" w:fill="FFFFFF"/>
        </w:rPr>
        <w:t xml:space="preserve">    </w:t>
      </w:r>
      <w:r>
        <w:rPr>
          <w:rFonts w:hint="eastAsia" w:ascii="宋体" w:hAnsi="宋体"/>
          <w:color w:val="000000"/>
          <w:sz w:val="24"/>
          <w:szCs w:val="24"/>
          <w:shd w:val="clear" w:color="auto" w:fill="FFFFFF"/>
        </w:rPr>
        <w:t>个工作日之内，甲方应对乙方交付的货物进行验收；甲方验收时，乙方应派代表在场。</w:t>
      </w:r>
    </w:p>
    <w:p w14:paraId="2D972F44">
      <w:pPr>
        <w:pStyle w:val="38"/>
        <w:shd w:val="clear" w:color="auto" w:fill="FFFFFF"/>
        <w:spacing w:before="0" w:beforeAutospacing="0" w:after="0" w:afterAutospacing="0" w:line="360" w:lineRule="auto"/>
        <w:ind w:firstLine="480"/>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2.验收方式：</w:t>
      </w:r>
      <w:r>
        <w:rPr>
          <w:rFonts w:hint="eastAsia" w:ascii="宋体" w:hAnsi="宋体"/>
          <w:color w:val="000000"/>
          <w:sz w:val="24"/>
          <w:szCs w:val="24"/>
          <w:u w:val="single"/>
          <w:shd w:val="clear" w:color="auto" w:fill="FFFFFF"/>
        </w:rPr>
        <w:t xml:space="preserve">              </w:t>
      </w:r>
    </w:p>
    <w:p w14:paraId="1BFD08A4">
      <w:pPr>
        <w:pStyle w:val="38"/>
        <w:shd w:val="clear" w:color="auto" w:fill="FFFFFF"/>
        <w:spacing w:before="0" w:beforeAutospacing="0" w:after="0" w:afterAutospacing="0" w:line="360" w:lineRule="auto"/>
        <w:ind w:firstLine="480"/>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（1）逐样验收</w:t>
      </w:r>
    </w:p>
    <w:p w14:paraId="55413340">
      <w:pPr>
        <w:pStyle w:val="38"/>
        <w:shd w:val="clear" w:color="auto" w:fill="FFFFFF"/>
        <w:spacing w:before="0" w:beforeAutospacing="0" w:after="0" w:afterAutospacing="0" w:line="360" w:lineRule="auto"/>
        <w:ind w:firstLine="480"/>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（2）抽样验收</w:t>
      </w:r>
    </w:p>
    <w:p w14:paraId="4157F684">
      <w:pPr>
        <w:pStyle w:val="38"/>
        <w:shd w:val="clear" w:color="auto" w:fill="FFFFFF"/>
        <w:spacing w:before="0" w:beforeAutospacing="0" w:after="0" w:afterAutospacing="0" w:line="360" w:lineRule="auto"/>
        <w:ind w:firstLine="720" w:firstLineChars="300"/>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抽样验收标准、方法和比例：</w:t>
      </w:r>
    </w:p>
    <w:p w14:paraId="6698FEBE">
      <w:pPr>
        <w:pStyle w:val="38"/>
        <w:shd w:val="clear" w:color="auto" w:fill="FFFFFF"/>
        <w:spacing w:before="0" w:beforeAutospacing="0" w:after="0" w:afterAutospacing="0" w:line="360" w:lineRule="auto"/>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 xml:space="preserve">    3.验收标准：根据第一条约定的质量标准进行验收。</w:t>
      </w:r>
    </w:p>
    <w:p w14:paraId="1671A23B">
      <w:pPr>
        <w:pStyle w:val="38"/>
        <w:shd w:val="clear" w:color="auto" w:fill="FFFFFF"/>
        <w:spacing w:before="0" w:beforeAutospacing="0" w:after="0" w:afterAutospacing="0" w:line="360" w:lineRule="auto"/>
        <w:ind w:firstLine="465"/>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4.验收合格的，由甲乙双方共同签署验收证书。</w:t>
      </w:r>
    </w:p>
    <w:p w14:paraId="206977CB">
      <w:pPr>
        <w:pStyle w:val="38"/>
        <w:shd w:val="clear" w:color="auto" w:fill="FFFFFF"/>
        <w:spacing w:before="0" w:beforeAutospacing="0" w:after="0" w:afterAutospacing="0" w:line="360" w:lineRule="auto"/>
        <w:ind w:firstLine="465"/>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5.验收不合格的，甲方应在验收证书上注明原因，乙方予以确认。</w:t>
      </w:r>
    </w:p>
    <w:p w14:paraId="09256FBB">
      <w:pPr>
        <w:pStyle w:val="38"/>
        <w:shd w:val="clear" w:color="auto" w:fill="FFFFFF"/>
        <w:spacing w:before="0" w:beforeAutospacing="0" w:after="0" w:afterAutospacing="0" w:line="360" w:lineRule="auto"/>
        <w:ind w:firstLine="465"/>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6.验收证书应一式贰份，双方各执一份。</w:t>
      </w:r>
    </w:p>
    <w:p w14:paraId="7C3C0942">
      <w:pPr>
        <w:pStyle w:val="38"/>
        <w:shd w:val="clear" w:color="auto" w:fill="FFFFFF"/>
        <w:spacing w:before="0" w:beforeAutospacing="0" w:after="0" w:afterAutospacing="0" w:line="360" w:lineRule="auto"/>
        <w:ind w:firstLine="465"/>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7.因质量验收发生争议的，由</w:t>
      </w:r>
      <w:r>
        <w:rPr>
          <w:rFonts w:hint="eastAsia" w:ascii="宋体" w:hAnsi="宋体"/>
          <w:color w:val="000000"/>
          <w:sz w:val="24"/>
          <w:szCs w:val="24"/>
          <w:u w:val="single"/>
          <w:shd w:val="clear" w:color="auto" w:fill="FFFFFF"/>
        </w:rPr>
        <w:t xml:space="preserve">         </w:t>
      </w:r>
      <w:r>
        <w:rPr>
          <w:rFonts w:hint="eastAsia" w:ascii="宋体" w:hAnsi="宋体"/>
          <w:color w:val="000000"/>
          <w:sz w:val="24"/>
          <w:szCs w:val="24"/>
          <w:shd w:val="clear" w:color="auto" w:fill="FFFFFF"/>
        </w:rPr>
        <w:t>检验机构按</w:t>
      </w:r>
      <w:r>
        <w:rPr>
          <w:rFonts w:hint="eastAsia" w:ascii="宋体" w:hAnsi="宋体"/>
          <w:color w:val="000000"/>
          <w:sz w:val="24"/>
          <w:szCs w:val="24"/>
          <w:u w:val="single"/>
          <w:shd w:val="clear" w:color="auto" w:fill="FFFFFF"/>
        </w:rPr>
        <w:t xml:space="preserve">           </w:t>
      </w:r>
      <w:r>
        <w:rPr>
          <w:rFonts w:hint="eastAsia" w:ascii="宋体" w:hAnsi="宋体"/>
          <w:color w:val="000000"/>
          <w:sz w:val="24"/>
          <w:szCs w:val="24"/>
          <w:shd w:val="clear" w:color="auto" w:fill="FFFFFF"/>
        </w:rPr>
        <w:t>检验标准和方法进行检验。（可选）</w:t>
      </w:r>
    </w:p>
    <w:p w14:paraId="263C2F40">
      <w:pPr>
        <w:pStyle w:val="38"/>
        <w:shd w:val="clear" w:color="auto" w:fill="FFFFFF"/>
        <w:spacing w:before="0" w:beforeAutospacing="0" w:after="0" w:afterAutospacing="0" w:line="360" w:lineRule="auto"/>
        <w:ind w:firstLine="480" w:firstLineChars="200"/>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8.甲方在验收过程中如发现货物的品种、型号、规格、数量和质量等与本合同约定不符的，双方应签署书面形式证明，乙方应根据该证明及时补足或更换。补足或更换的货物应在签署货损证明之日起</w:t>
      </w:r>
      <w:r>
        <w:rPr>
          <w:rFonts w:hint="eastAsia" w:ascii="宋体" w:hAnsi="宋体"/>
          <w:color w:val="000000"/>
          <w:sz w:val="24"/>
          <w:szCs w:val="24"/>
          <w:u w:val="single"/>
          <w:shd w:val="clear" w:color="auto" w:fill="FFFFFF"/>
        </w:rPr>
        <w:t xml:space="preserve"> 10 </w:t>
      </w:r>
      <w:r>
        <w:rPr>
          <w:rFonts w:hint="eastAsia" w:ascii="宋体" w:hAnsi="宋体"/>
          <w:color w:val="000000"/>
          <w:sz w:val="24"/>
          <w:szCs w:val="24"/>
          <w:shd w:val="clear" w:color="auto" w:fill="FFFFFF"/>
        </w:rPr>
        <w:t>天内运达甲方指定地点，相关费用由乙方承担。</w:t>
      </w:r>
    </w:p>
    <w:p w14:paraId="6DED70E8">
      <w:pPr>
        <w:pStyle w:val="38"/>
        <w:shd w:val="clear" w:color="auto" w:fill="FFFFFF"/>
        <w:spacing w:before="0" w:beforeAutospacing="0" w:after="0" w:afterAutospacing="0" w:line="360" w:lineRule="auto"/>
        <w:jc w:val="both"/>
        <w:rPr>
          <w:rFonts w:ascii="宋体" w:hAnsi="宋体"/>
          <w:b/>
          <w:bCs/>
          <w:color w:val="000000"/>
          <w:sz w:val="24"/>
          <w:szCs w:val="24"/>
        </w:rPr>
      </w:pPr>
      <w:r>
        <w:rPr>
          <w:rFonts w:hint="eastAsia" w:ascii="宋体" w:hAnsi="宋体"/>
          <w:b/>
          <w:bCs/>
          <w:color w:val="000000"/>
          <w:sz w:val="24"/>
          <w:szCs w:val="24"/>
          <w:shd w:val="clear" w:color="auto" w:fill="FFFFFF"/>
        </w:rPr>
        <w:t>第八条 质量保证及维护</w:t>
      </w:r>
    </w:p>
    <w:p w14:paraId="49115922">
      <w:pPr>
        <w:pStyle w:val="38"/>
        <w:shd w:val="clear" w:color="auto" w:fill="FFFFFF"/>
        <w:spacing w:before="0" w:beforeAutospacing="0" w:after="0" w:afterAutospacing="0" w:line="360" w:lineRule="auto"/>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 xml:space="preserve">    1.质保期：验收合格之日起</w:t>
      </w:r>
      <w:r>
        <w:rPr>
          <w:rFonts w:hint="eastAsia" w:ascii="宋体" w:hAnsi="宋体"/>
          <w:color w:val="000000"/>
          <w:sz w:val="24"/>
          <w:szCs w:val="24"/>
          <w:u w:val="single"/>
          <w:shd w:val="clear" w:color="auto" w:fill="FFFFFF"/>
        </w:rPr>
        <w:t xml:space="preserve">    </w:t>
      </w:r>
      <w:r>
        <w:rPr>
          <w:rFonts w:hint="eastAsia" w:ascii="宋体" w:hAnsi="宋体"/>
          <w:color w:val="000000"/>
          <w:sz w:val="24"/>
          <w:szCs w:val="24"/>
          <w:shd w:val="clear" w:color="auto" w:fill="FFFFFF"/>
        </w:rPr>
        <w:t>年为免费质保期。</w:t>
      </w:r>
    </w:p>
    <w:p w14:paraId="39955A13">
      <w:pPr>
        <w:pStyle w:val="38"/>
        <w:shd w:val="clear" w:color="auto" w:fill="FFFFFF"/>
        <w:spacing w:before="0" w:beforeAutospacing="0" w:after="0" w:afterAutospacing="0" w:line="360" w:lineRule="auto"/>
        <w:ind w:firstLine="480" w:firstLineChars="200"/>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2.在质保期内，如果货物存在缺陷，包括潜在的、非显而易见的缺陷或使用不符合要求的材料等，甲方应在发现该情况之日起</w:t>
      </w:r>
      <w:r>
        <w:rPr>
          <w:rFonts w:hint="eastAsia" w:ascii="宋体" w:hAnsi="宋体"/>
          <w:color w:val="000000"/>
          <w:sz w:val="24"/>
          <w:szCs w:val="24"/>
          <w:u w:val="single"/>
          <w:shd w:val="clear" w:color="auto" w:fill="FFFFFF"/>
        </w:rPr>
        <w:t xml:space="preserve"> 3 </w:t>
      </w:r>
      <w:r>
        <w:rPr>
          <w:rFonts w:hint="eastAsia" w:ascii="宋体" w:hAnsi="宋体"/>
          <w:color w:val="000000"/>
          <w:sz w:val="24"/>
          <w:szCs w:val="24"/>
          <w:shd w:val="clear" w:color="auto" w:fill="FFFFFF"/>
        </w:rPr>
        <w:t>天内以书面形式通知乙方，要求乙方免费更换有缺陷的货物或部件。乙方应在收到甲方通知后</w:t>
      </w:r>
      <w:r>
        <w:rPr>
          <w:rFonts w:hint="eastAsia" w:ascii="宋体" w:hAnsi="宋体"/>
          <w:color w:val="000000"/>
          <w:sz w:val="24"/>
          <w:szCs w:val="24"/>
          <w:u w:val="single"/>
          <w:shd w:val="clear" w:color="auto" w:fill="FFFFFF"/>
        </w:rPr>
        <w:t xml:space="preserve"> 10 </w:t>
      </w:r>
      <w:r>
        <w:rPr>
          <w:rFonts w:hint="eastAsia" w:ascii="宋体" w:hAnsi="宋体"/>
          <w:color w:val="000000"/>
          <w:sz w:val="24"/>
          <w:szCs w:val="24"/>
          <w:shd w:val="clear" w:color="auto" w:fill="FFFFFF"/>
        </w:rPr>
        <w:t>天内免费更换有缺陷的货物或部件，相关费用由乙方承担。</w:t>
      </w:r>
    </w:p>
    <w:p w14:paraId="31AD53E2">
      <w:pPr>
        <w:pStyle w:val="38"/>
        <w:shd w:val="clear" w:color="auto" w:fill="FFFFFF"/>
        <w:spacing w:before="0" w:beforeAutospacing="0" w:after="0" w:afterAutospacing="0" w:line="360" w:lineRule="auto"/>
        <w:ind w:firstLine="480" w:firstLineChars="200"/>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3. 若甲方向乙方提出维修要求，乙方应在</w:t>
      </w:r>
      <w:r>
        <w:rPr>
          <w:rFonts w:hint="eastAsia" w:ascii="宋体" w:hAnsi="宋体"/>
          <w:color w:val="000000"/>
          <w:sz w:val="24"/>
          <w:szCs w:val="24"/>
          <w:u w:val="single"/>
          <w:shd w:val="clear" w:color="auto" w:fill="FFFFFF"/>
        </w:rPr>
        <w:t xml:space="preserve">    </w:t>
      </w:r>
      <w:r>
        <w:rPr>
          <w:rFonts w:hint="eastAsia" w:ascii="宋体" w:hAnsi="宋体"/>
          <w:color w:val="000000"/>
          <w:sz w:val="24"/>
          <w:szCs w:val="24"/>
          <w:shd w:val="clear" w:color="auto" w:fill="FFFFFF"/>
        </w:rPr>
        <w:t>个工作日内响应，在</w:t>
      </w:r>
      <w:r>
        <w:rPr>
          <w:rFonts w:hint="eastAsia" w:ascii="宋体" w:hAnsi="宋体"/>
          <w:color w:val="000000"/>
          <w:sz w:val="24"/>
          <w:szCs w:val="24"/>
          <w:u w:val="single"/>
          <w:shd w:val="clear" w:color="auto" w:fill="FFFFFF"/>
        </w:rPr>
        <w:t xml:space="preserve">    </w:t>
      </w:r>
      <w:r>
        <w:rPr>
          <w:rFonts w:hint="eastAsia" w:ascii="宋体" w:hAnsi="宋体"/>
          <w:color w:val="000000"/>
          <w:sz w:val="24"/>
          <w:szCs w:val="24"/>
          <w:shd w:val="clear" w:color="auto" w:fill="FFFFFF"/>
        </w:rPr>
        <w:t>个工作日内完成维修。</w:t>
      </w:r>
    </w:p>
    <w:p w14:paraId="6177DBCB">
      <w:pPr>
        <w:pStyle w:val="38"/>
        <w:shd w:val="clear" w:color="auto" w:fill="FFFFFF"/>
        <w:spacing w:before="0" w:beforeAutospacing="0" w:after="0" w:afterAutospacing="0" w:line="360" w:lineRule="auto"/>
        <w:jc w:val="both"/>
        <w:rPr>
          <w:rFonts w:ascii="宋体" w:hAnsi="宋体"/>
          <w:color w:val="000000"/>
          <w:sz w:val="24"/>
          <w:szCs w:val="24"/>
        </w:rPr>
      </w:pPr>
      <w:r>
        <w:rPr>
          <w:rFonts w:hint="eastAsia" w:ascii="宋体" w:hAnsi="宋体"/>
          <w:color w:val="000000"/>
          <w:sz w:val="24"/>
          <w:szCs w:val="24"/>
          <w:shd w:val="clear" w:color="auto" w:fill="FFFFFF"/>
        </w:rPr>
        <w:t xml:space="preserve">    4. </w:t>
      </w:r>
      <w:r>
        <w:rPr>
          <w:rFonts w:hint="eastAsia" w:ascii="宋体" w:hAnsi="宋体"/>
          <w:color w:val="000000"/>
          <w:sz w:val="24"/>
          <w:szCs w:val="24"/>
        </w:rPr>
        <w:t>如果乙方在收到通知后没有按期维修、弥补缺陷、更换货物或部件，甲方可要求乙方承担违约责任，包括但不限于退货、索赔，由此引发的风险和费用由乙方承担。</w:t>
      </w:r>
    </w:p>
    <w:p w14:paraId="4E37DAA7">
      <w:pPr>
        <w:pStyle w:val="38"/>
        <w:shd w:val="clear" w:color="auto" w:fill="FFFFFF"/>
        <w:spacing w:before="0" w:beforeAutospacing="0" w:after="0" w:afterAutospacing="0" w:line="360" w:lineRule="auto"/>
        <w:ind w:firstLine="480"/>
        <w:jc w:val="both"/>
        <w:rPr>
          <w:rFonts w:ascii="宋体" w:hAnsi="宋体"/>
          <w:color w:val="000000"/>
          <w:sz w:val="24"/>
          <w:szCs w:val="24"/>
        </w:rPr>
      </w:pPr>
      <w:r>
        <w:rPr>
          <w:rFonts w:hint="eastAsia" w:ascii="宋体" w:hAnsi="宋体"/>
          <w:color w:val="000000"/>
          <w:sz w:val="24"/>
          <w:szCs w:val="24"/>
        </w:rPr>
        <w:t>5.如果乙方交付甲方的货物是来自于第三方的产品，乙方应向甲方提供其与该第三方签订的享有完全质量保证、保修和维修权利的合同文件副本。</w:t>
      </w:r>
    </w:p>
    <w:p w14:paraId="4FCC25B0">
      <w:pPr>
        <w:pStyle w:val="38"/>
        <w:shd w:val="clear" w:color="auto" w:fill="FFFFFF"/>
        <w:spacing w:before="0" w:beforeAutospacing="0" w:after="0" w:afterAutospacing="0" w:line="360" w:lineRule="auto"/>
        <w:ind w:firstLine="480"/>
        <w:jc w:val="both"/>
        <w:rPr>
          <w:rFonts w:ascii="宋体" w:hAnsi="宋体"/>
          <w:b/>
          <w:bCs/>
          <w:color w:val="000000"/>
          <w:sz w:val="24"/>
          <w:szCs w:val="24"/>
          <w:shd w:val="clear" w:color="auto" w:fill="FFFFFF"/>
        </w:rPr>
      </w:pPr>
      <w:r>
        <w:rPr>
          <w:rFonts w:hint="eastAsia" w:ascii="宋体" w:hAnsi="宋体"/>
          <w:color w:val="000000"/>
          <w:sz w:val="24"/>
          <w:szCs w:val="24"/>
        </w:rPr>
        <w:t>6.质保期届满后，乙方负有终身维护的义务，并承诺以最低优惠价格收取维修费。</w:t>
      </w:r>
    </w:p>
    <w:p w14:paraId="65CEB5CA">
      <w:pPr>
        <w:pStyle w:val="38"/>
        <w:shd w:val="clear" w:color="auto" w:fill="FFFFFF"/>
        <w:spacing w:before="0" w:beforeAutospacing="0" w:after="0" w:afterAutospacing="0" w:line="360" w:lineRule="auto"/>
        <w:jc w:val="both"/>
        <w:rPr>
          <w:rFonts w:ascii="宋体" w:hAnsi="宋体"/>
          <w:color w:val="000000"/>
          <w:sz w:val="24"/>
          <w:szCs w:val="24"/>
          <w:shd w:val="clear" w:color="auto" w:fill="FFFFFF"/>
        </w:rPr>
      </w:pPr>
      <w:r>
        <w:rPr>
          <w:rFonts w:hint="eastAsia" w:ascii="宋体" w:hAnsi="宋体"/>
          <w:b/>
          <w:bCs/>
          <w:color w:val="000000"/>
          <w:sz w:val="24"/>
          <w:szCs w:val="24"/>
          <w:shd w:val="clear" w:color="auto" w:fill="FFFFFF"/>
        </w:rPr>
        <w:t>第九条 知识产权</w:t>
      </w:r>
    </w:p>
    <w:p w14:paraId="4620F2F4">
      <w:pPr>
        <w:pStyle w:val="38"/>
        <w:shd w:val="clear" w:color="auto" w:fill="FFFFFF"/>
        <w:spacing w:before="0" w:beforeAutospacing="0" w:after="0" w:afterAutospacing="0" w:line="360" w:lineRule="auto"/>
        <w:ind w:firstLine="480"/>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乙方保证依本合同交付的货物不侵犯第三方的权利，若发生第三方指控甲方购买的货物有侵权问题，应由其与第三方进行交涉，并承担由此而产生的一切法律和经济责任。</w:t>
      </w:r>
    </w:p>
    <w:p w14:paraId="79155C0B">
      <w:pPr>
        <w:pStyle w:val="38"/>
        <w:shd w:val="clear" w:color="auto" w:fill="FFFFFF"/>
        <w:spacing w:before="0" w:beforeAutospacing="0" w:after="0" w:afterAutospacing="0" w:line="360" w:lineRule="auto"/>
        <w:jc w:val="both"/>
        <w:rPr>
          <w:rFonts w:ascii="宋体" w:hAnsi="宋体"/>
          <w:b/>
          <w:bCs/>
          <w:color w:val="000000"/>
          <w:sz w:val="24"/>
          <w:szCs w:val="24"/>
          <w:shd w:val="clear" w:color="auto" w:fill="FFFFFF"/>
        </w:rPr>
      </w:pPr>
      <w:r>
        <w:rPr>
          <w:rFonts w:hint="eastAsia" w:ascii="宋体" w:hAnsi="宋体"/>
          <w:b/>
          <w:bCs/>
          <w:color w:val="000000"/>
          <w:sz w:val="24"/>
          <w:szCs w:val="24"/>
          <w:shd w:val="clear" w:color="auto" w:fill="FFFFFF"/>
        </w:rPr>
        <w:t>第十条 保密条款</w:t>
      </w:r>
    </w:p>
    <w:p w14:paraId="4379174B">
      <w:pPr>
        <w:pStyle w:val="38"/>
        <w:shd w:val="clear" w:color="auto" w:fill="FFFFFF"/>
        <w:spacing w:before="0" w:beforeAutospacing="0" w:after="0" w:afterAutospacing="0" w:line="360" w:lineRule="auto"/>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 xml:space="preserve">    1.无论合同是否成立，任何一方对其获知的本合同及附件中其他各方的商业秘密和国家秘密负有保密义务。</w:t>
      </w:r>
    </w:p>
    <w:p w14:paraId="177F777C">
      <w:pPr>
        <w:pStyle w:val="38"/>
        <w:shd w:val="clear" w:color="auto" w:fill="FFFFFF"/>
        <w:spacing w:before="0" w:beforeAutospacing="0" w:after="0" w:afterAutospacing="0" w:line="360" w:lineRule="auto"/>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 xml:space="preserve">    2.除非法律、法规另有规定或得到本合同另一方的书面许可，任何一方不得向第三人泄露前款规定的商业秘密和国家秘密。保密期限自任何一方获知该商业秘密和国家秘密之日起至本条规定的秘密成为公众所知悉的信息之日止。</w:t>
      </w:r>
    </w:p>
    <w:p w14:paraId="10177E5B">
      <w:pPr>
        <w:pStyle w:val="38"/>
        <w:shd w:val="clear" w:color="auto" w:fill="FFFFFF"/>
        <w:spacing w:before="0" w:beforeAutospacing="0" w:after="0" w:afterAutospacing="0" w:line="360" w:lineRule="auto"/>
        <w:jc w:val="both"/>
        <w:rPr>
          <w:rFonts w:ascii="宋体" w:hAnsi="宋体"/>
          <w:b/>
          <w:bCs/>
          <w:color w:val="000000"/>
          <w:sz w:val="24"/>
          <w:szCs w:val="24"/>
        </w:rPr>
      </w:pPr>
      <w:r>
        <w:rPr>
          <w:rFonts w:hint="eastAsia" w:ascii="宋体" w:hAnsi="宋体"/>
          <w:b/>
          <w:bCs/>
          <w:color w:val="000000"/>
          <w:sz w:val="24"/>
          <w:szCs w:val="24"/>
          <w:shd w:val="clear" w:color="auto" w:fill="FFFFFF"/>
        </w:rPr>
        <w:t>第十一条 违约责任</w:t>
      </w:r>
    </w:p>
    <w:p w14:paraId="70572646">
      <w:pPr>
        <w:pStyle w:val="38"/>
        <w:shd w:val="clear" w:color="auto" w:fill="FFFFFF"/>
        <w:spacing w:before="0" w:beforeAutospacing="0" w:after="0" w:afterAutospacing="0" w:line="360" w:lineRule="auto"/>
        <w:jc w:val="both"/>
        <w:rPr>
          <w:rFonts w:ascii="宋体" w:hAnsi="宋体"/>
          <w:color w:val="000000"/>
          <w:sz w:val="24"/>
          <w:szCs w:val="24"/>
        </w:rPr>
      </w:pPr>
      <w:r>
        <w:rPr>
          <w:rFonts w:hint="eastAsia" w:ascii="宋体" w:hAnsi="宋体"/>
          <w:color w:val="000000"/>
          <w:sz w:val="24"/>
          <w:szCs w:val="24"/>
          <w:shd w:val="clear" w:color="auto" w:fill="FFFFFF"/>
        </w:rPr>
        <w:t xml:space="preserve">    1.违反本合同条款均视为违约。</w:t>
      </w:r>
    </w:p>
    <w:p w14:paraId="5A6434A1">
      <w:pPr>
        <w:pStyle w:val="38"/>
        <w:shd w:val="clear" w:color="auto" w:fill="FFFFFF"/>
        <w:spacing w:before="0" w:beforeAutospacing="0" w:after="0" w:afterAutospacing="0" w:line="360" w:lineRule="auto"/>
        <w:ind w:firstLine="480"/>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2.除特别约定外，违约方应向守约方支付违约金，违约金计算标准为合同价款的20%。</w:t>
      </w:r>
    </w:p>
    <w:p w14:paraId="5143DF3A">
      <w:pPr>
        <w:pStyle w:val="38"/>
        <w:shd w:val="clear" w:color="auto" w:fill="FFFFFF"/>
        <w:spacing w:before="0" w:beforeAutospacing="0" w:after="0" w:afterAutospacing="0" w:line="360" w:lineRule="auto"/>
        <w:ind w:firstLine="480"/>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3.合同履行过程中，</w:t>
      </w:r>
      <w:r>
        <w:rPr>
          <w:rFonts w:hint="eastAsia" w:ascii="宋体" w:hAnsi="宋体"/>
          <w:color w:val="000000"/>
          <w:sz w:val="24"/>
          <w:szCs w:val="24"/>
        </w:rPr>
        <w:t>乙方明确表示或以自己的行为表明不能履行交货义务的，乙方应向甲方偿付不能交货部分货款</w:t>
      </w:r>
      <w:r>
        <w:rPr>
          <w:rFonts w:hint="eastAsia" w:ascii="宋体" w:hAnsi="宋体"/>
          <w:color w:val="000000"/>
          <w:sz w:val="24"/>
          <w:szCs w:val="24"/>
          <w:u w:val="single"/>
        </w:rPr>
        <w:t xml:space="preserve"> 20 </w:t>
      </w:r>
      <w:r>
        <w:rPr>
          <w:rFonts w:hint="eastAsia" w:ascii="宋体" w:hAnsi="宋体"/>
          <w:color w:val="000000"/>
          <w:sz w:val="24"/>
          <w:szCs w:val="24"/>
        </w:rPr>
        <w:t>%的违约金，同时合同解除。</w:t>
      </w:r>
    </w:p>
    <w:p w14:paraId="33D78CA3">
      <w:pPr>
        <w:pStyle w:val="38"/>
        <w:shd w:val="clear" w:color="auto" w:fill="FFFFFF"/>
        <w:spacing w:before="0" w:beforeAutospacing="0" w:after="0" w:afterAutospacing="0" w:line="360" w:lineRule="auto"/>
        <w:ind w:firstLine="480" w:firstLineChars="200"/>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4.乙方如不能按时交货，应及时以书面形式将不能按时交货的理由、预期延误时间通知甲方。甲方收到乙方通知后，认为其理由正当的，可酌情延长交货时间，同时甲方可要求乙方支付违约金。违约金按迟交货物价款每天</w:t>
      </w:r>
      <w:r>
        <w:rPr>
          <w:rFonts w:hint="eastAsia" w:ascii="宋体" w:hAnsi="宋体"/>
          <w:color w:val="000000"/>
          <w:sz w:val="24"/>
          <w:szCs w:val="24"/>
          <w:u w:val="single"/>
          <w:shd w:val="clear" w:color="auto" w:fill="FFFFFF"/>
        </w:rPr>
        <w:t xml:space="preserve"> 0.1 </w:t>
      </w:r>
      <w:r>
        <w:rPr>
          <w:rFonts w:hint="eastAsia" w:ascii="宋体" w:hAnsi="宋体"/>
          <w:color w:val="000000"/>
          <w:sz w:val="24"/>
          <w:szCs w:val="24"/>
          <w:shd w:val="clear" w:color="auto" w:fill="FFFFFF"/>
        </w:rPr>
        <w:t>%计收。违约金的最高限额为合同价的</w:t>
      </w:r>
      <w:r>
        <w:rPr>
          <w:rFonts w:hint="eastAsia" w:ascii="宋体" w:hAnsi="宋体"/>
          <w:color w:val="000000"/>
          <w:sz w:val="24"/>
          <w:szCs w:val="24"/>
          <w:u w:val="single"/>
          <w:shd w:val="clear" w:color="auto" w:fill="FFFFFF"/>
        </w:rPr>
        <w:t xml:space="preserve"> 20 </w:t>
      </w:r>
      <w:r>
        <w:rPr>
          <w:rFonts w:hint="eastAsia" w:ascii="宋体" w:hAnsi="宋体"/>
          <w:color w:val="000000"/>
          <w:sz w:val="24"/>
          <w:szCs w:val="24"/>
          <w:shd w:val="clear" w:color="auto" w:fill="FFFFFF"/>
        </w:rPr>
        <w:t>%。如果达到最高限额，甲方有权解除合同。</w:t>
      </w:r>
    </w:p>
    <w:p w14:paraId="6F3B1783">
      <w:pPr>
        <w:pStyle w:val="38"/>
        <w:shd w:val="clear" w:color="auto" w:fill="FFFFFF"/>
        <w:spacing w:before="0" w:beforeAutospacing="0" w:after="0" w:afterAutospacing="0" w:line="360" w:lineRule="auto"/>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 xml:space="preserve">    5.因乙方包装不当造成货物损坏或灭失，或乙方发错货物等原因造成货物验收不合格而逾期交付的，乙方应承担责任并按前款规定承担违约金。</w:t>
      </w:r>
    </w:p>
    <w:p w14:paraId="4901F5AC">
      <w:pPr>
        <w:pStyle w:val="38"/>
        <w:shd w:val="clear" w:color="auto" w:fill="FFFFFF"/>
        <w:spacing w:before="0" w:beforeAutospacing="0" w:after="0" w:afterAutospacing="0" w:line="360" w:lineRule="auto"/>
        <w:ind w:firstLine="480"/>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6.乙方所交货物品种、型号、规格、花色、质量等不符合同规定的，或在质量保证期内证实货物存有缺陷的，乙方应按照甲方要求的下列方式承担违约责任：</w:t>
      </w:r>
    </w:p>
    <w:p w14:paraId="6B3AB5B4">
      <w:pPr>
        <w:pStyle w:val="38"/>
        <w:shd w:val="clear" w:color="auto" w:fill="FFFFFF"/>
        <w:spacing w:before="0" w:beforeAutospacing="0" w:after="0" w:afterAutospacing="0" w:line="360" w:lineRule="auto"/>
        <w:ind w:firstLine="480"/>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（1）甲方退货的，乙方须退回全部货款，并支付合同总金额20%的违约金，给甲方造成损失的，按实际损失额进行赔偿。</w:t>
      </w:r>
    </w:p>
    <w:p w14:paraId="46599BA6">
      <w:pPr>
        <w:pStyle w:val="38"/>
        <w:shd w:val="clear" w:color="auto" w:fill="FFFFFF"/>
        <w:spacing w:before="0" w:beforeAutospacing="0" w:after="0" w:afterAutospacing="0" w:line="360" w:lineRule="auto"/>
        <w:ind w:firstLine="480"/>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2）经甲方同意，乙方可采用符合规格、质量和性能要求的新零件、部件或货物来更换有缺陷的部分或/修补缺陷部分，质保期相应延长。此外，甲方有权减少10%的货款作为违约金。如乙方未在约定期限内完成更换或修补，视为不能按时交货，按照本条第4款执行。</w:t>
      </w:r>
    </w:p>
    <w:p w14:paraId="76B50073">
      <w:pPr>
        <w:pStyle w:val="38"/>
        <w:shd w:val="clear" w:color="auto" w:fill="FFFFFF"/>
        <w:spacing w:before="0" w:beforeAutospacing="0" w:after="0" w:afterAutospacing="0" w:line="360" w:lineRule="auto"/>
        <w:ind w:firstLine="480" w:firstLineChars="200"/>
        <w:jc w:val="both"/>
        <w:rPr>
          <w:rFonts w:ascii="宋体" w:hAnsi="宋体"/>
          <w:color w:val="000000"/>
          <w:sz w:val="24"/>
          <w:szCs w:val="24"/>
        </w:rPr>
      </w:pPr>
      <w:r>
        <w:rPr>
          <w:rFonts w:hint="eastAsia" w:ascii="宋体" w:hAnsi="宋体"/>
          <w:color w:val="000000"/>
          <w:sz w:val="24"/>
          <w:szCs w:val="24"/>
          <w:shd w:val="clear" w:color="auto" w:fill="FFFFFF"/>
        </w:rPr>
        <w:t>7.其它：</w:t>
      </w:r>
      <w:r>
        <w:rPr>
          <w:rFonts w:hint="eastAsia" w:ascii="宋体" w:hAnsi="宋体"/>
          <w:color w:val="000000"/>
          <w:sz w:val="24"/>
          <w:szCs w:val="24"/>
          <w:u w:val="single"/>
          <w:shd w:val="clear" w:color="auto" w:fill="FFFFFF"/>
        </w:rPr>
        <w:t xml:space="preserve">                                                      </w:t>
      </w:r>
      <w:r>
        <w:rPr>
          <w:rFonts w:hint="eastAsia" w:ascii="宋体" w:hAnsi="宋体"/>
          <w:color w:val="000000"/>
          <w:sz w:val="24"/>
          <w:szCs w:val="24"/>
          <w:shd w:val="clear" w:color="auto" w:fill="FFFFFF"/>
        </w:rPr>
        <w:t>。</w:t>
      </w:r>
    </w:p>
    <w:p w14:paraId="18DF311E">
      <w:pPr>
        <w:pStyle w:val="38"/>
        <w:shd w:val="clear" w:color="auto" w:fill="FFFFFF"/>
        <w:spacing w:before="0" w:beforeAutospacing="0" w:after="0" w:afterAutospacing="0" w:line="360" w:lineRule="auto"/>
        <w:jc w:val="both"/>
        <w:rPr>
          <w:rFonts w:ascii="宋体" w:hAnsi="宋体"/>
          <w:b/>
          <w:bCs/>
          <w:color w:val="000000"/>
          <w:sz w:val="24"/>
          <w:szCs w:val="24"/>
          <w:shd w:val="clear" w:color="auto" w:fill="FFFFFF"/>
        </w:rPr>
      </w:pPr>
      <w:r>
        <w:rPr>
          <w:rFonts w:hint="eastAsia" w:ascii="宋体" w:hAnsi="宋体"/>
          <w:b/>
          <w:bCs/>
          <w:color w:val="000000"/>
          <w:sz w:val="24"/>
          <w:szCs w:val="24"/>
          <w:shd w:val="clear" w:color="auto" w:fill="FFFFFF"/>
        </w:rPr>
        <w:t>第十二条 合同解除与终止</w:t>
      </w:r>
    </w:p>
    <w:p w14:paraId="456C10C2">
      <w:pPr>
        <w:pStyle w:val="38"/>
        <w:shd w:val="clear" w:color="auto" w:fill="FFFFFF"/>
        <w:spacing w:before="0" w:beforeAutospacing="0" w:after="0" w:afterAutospacing="0" w:line="360" w:lineRule="auto"/>
        <w:ind w:firstLine="480"/>
        <w:jc w:val="both"/>
        <w:rPr>
          <w:rFonts w:ascii="宋体" w:hAnsi="宋体"/>
          <w:color w:val="000000"/>
          <w:sz w:val="24"/>
          <w:szCs w:val="24"/>
        </w:rPr>
      </w:pPr>
      <w:r>
        <w:rPr>
          <w:rFonts w:hint="eastAsia" w:ascii="宋体" w:hAnsi="宋体"/>
          <w:color w:val="000000"/>
          <w:sz w:val="24"/>
          <w:szCs w:val="24"/>
          <w:shd w:val="clear" w:color="auto" w:fill="FFFFFF"/>
        </w:rPr>
        <w:t>1.乙方未能在合同规定的限期或甲方同意延长的限期内，提供全部或部分货物，或乙方未能履行合同规定的其它主要义务的，</w:t>
      </w:r>
      <w:r>
        <w:rPr>
          <w:rFonts w:hint="eastAsia" w:ascii="宋体" w:hAnsi="宋体"/>
          <w:color w:val="000000"/>
          <w:sz w:val="24"/>
          <w:szCs w:val="24"/>
        </w:rPr>
        <w:t>甲方可向乙方发出书面通知，提出部分或全部解除合同，并采取必要的补救措施，同时保留向乙方追诉的权利，由此产生的所有相关费用由乙方承担。部分解除合同的，乙方应继续履行合同中未解除的部分。</w:t>
      </w:r>
    </w:p>
    <w:p w14:paraId="5DCBB98B">
      <w:pPr>
        <w:pStyle w:val="38"/>
        <w:shd w:val="clear" w:color="auto" w:fill="FFFFFF"/>
        <w:spacing w:before="0" w:beforeAutospacing="0" w:after="0" w:afterAutospacing="0" w:line="360" w:lineRule="auto"/>
        <w:ind w:firstLine="480"/>
        <w:jc w:val="both"/>
        <w:rPr>
          <w:rFonts w:ascii="宋体" w:hAnsi="宋体"/>
          <w:color w:val="000000"/>
          <w:sz w:val="24"/>
          <w:szCs w:val="24"/>
        </w:rPr>
      </w:pPr>
      <w:r>
        <w:rPr>
          <w:rFonts w:hint="eastAsia" w:ascii="宋体" w:hAnsi="宋体"/>
          <w:color w:val="000000"/>
          <w:sz w:val="24"/>
          <w:szCs w:val="24"/>
        </w:rPr>
        <w:t>2.依据本合同第十一条第3款或第4款之约定合同解除，乙方除承担违约责任，还应退还甲方全部货款。</w:t>
      </w:r>
    </w:p>
    <w:p w14:paraId="6B99E5E1">
      <w:pPr>
        <w:pStyle w:val="38"/>
        <w:shd w:val="clear" w:color="auto" w:fill="FFFFFF"/>
        <w:spacing w:before="0" w:beforeAutospacing="0" w:after="0" w:afterAutospacing="0" w:line="360" w:lineRule="auto"/>
        <w:jc w:val="both"/>
        <w:rPr>
          <w:rFonts w:ascii="宋体" w:hAnsi="宋体"/>
          <w:b/>
          <w:bCs/>
          <w:color w:val="000000"/>
          <w:sz w:val="24"/>
          <w:szCs w:val="24"/>
          <w:shd w:val="clear" w:color="auto" w:fill="FFFFFF"/>
        </w:rPr>
      </w:pPr>
      <w:r>
        <w:rPr>
          <w:rFonts w:hint="eastAsia" w:ascii="宋体" w:hAnsi="宋体"/>
          <w:color w:val="000000"/>
          <w:sz w:val="24"/>
          <w:szCs w:val="24"/>
        </w:rPr>
        <w:t xml:space="preserve">    3.</w:t>
      </w:r>
      <w:r>
        <w:rPr>
          <w:rFonts w:hint="eastAsia" w:ascii="宋体" w:hAnsi="宋体"/>
          <w:color w:val="000000"/>
          <w:sz w:val="24"/>
          <w:szCs w:val="24"/>
          <w:shd w:val="clear" w:color="auto" w:fill="FFFFFF"/>
        </w:rPr>
        <w:t>除本合同中和法律规定的可以解除合同的情形外，</w:t>
      </w:r>
      <w:r>
        <w:rPr>
          <w:rFonts w:hint="eastAsia" w:ascii="宋体" w:hAnsi="宋体"/>
          <w:color w:val="000000"/>
          <w:sz w:val="24"/>
          <w:szCs w:val="24"/>
        </w:rPr>
        <w:t>双方协商一致的，也可以终止合同的履行。</w:t>
      </w:r>
    </w:p>
    <w:p w14:paraId="0A14E785">
      <w:pPr>
        <w:pStyle w:val="38"/>
        <w:shd w:val="clear" w:color="auto" w:fill="FFFFFF"/>
        <w:spacing w:before="0" w:beforeAutospacing="0" w:after="0" w:afterAutospacing="0" w:line="360" w:lineRule="auto"/>
        <w:jc w:val="both"/>
        <w:rPr>
          <w:rFonts w:ascii="宋体" w:hAnsi="宋体"/>
          <w:b/>
          <w:bCs/>
          <w:color w:val="000000"/>
          <w:sz w:val="24"/>
          <w:szCs w:val="24"/>
        </w:rPr>
      </w:pPr>
      <w:r>
        <w:rPr>
          <w:rFonts w:hint="eastAsia" w:ascii="宋体" w:hAnsi="宋体"/>
          <w:b/>
          <w:bCs/>
          <w:color w:val="000000"/>
          <w:sz w:val="24"/>
          <w:szCs w:val="24"/>
          <w:shd w:val="clear" w:color="auto" w:fill="FFFFFF"/>
        </w:rPr>
        <w:t>第十三条 不可抗力与责任免除</w:t>
      </w:r>
    </w:p>
    <w:p w14:paraId="5F0299AE">
      <w:pPr>
        <w:pStyle w:val="38"/>
        <w:shd w:val="clear" w:color="auto" w:fill="FFFFFF"/>
        <w:spacing w:before="0" w:beforeAutospacing="0" w:after="0" w:afterAutospacing="0" w:line="360" w:lineRule="auto"/>
        <w:ind w:firstLine="480" w:firstLineChars="200"/>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1.不可抗力指下列事件：战争、动乱、瘟疫、严重火灾、洪水、地震、风暴或其他自然灾害，以及本合同各方不可预见、不可防止并不能避免或克服的一切其他事件。</w:t>
      </w:r>
    </w:p>
    <w:p w14:paraId="01CE832E">
      <w:pPr>
        <w:pStyle w:val="38"/>
        <w:shd w:val="clear" w:color="auto" w:fill="FFFFFF"/>
        <w:spacing w:before="0" w:beforeAutospacing="0" w:after="0" w:afterAutospacing="0" w:line="360" w:lineRule="auto"/>
        <w:ind w:firstLine="480" w:firstLineChars="200"/>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2.任何一方因不可抗力不能履行本合同规定的全部或部分义务，该方应尽快通知另一方，并须在不可抗力发生后三个工作日内以书面形式向另一方提供详细情况报告、证明材料及不可抗力对履行本合同的影响程度的说明。</w:t>
      </w:r>
    </w:p>
    <w:p w14:paraId="6A8B1C74">
      <w:pPr>
        <w:pStyle w:val="38"/>
        <w:shd w:val="clear" w:color="auto" w:fill="FFFFFF"/>
        <w:spacing w:before="0" w:beforeAutospacing="0" w:after="0" w:afterAutospacing="0" w:line="360" w:lineRule="auto"/>
        <w:ind w:firstLine="480" w:firstLineChars="200"/>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3.合同双方应根据不可抗力对本合同履行的影响程度，协商确定是否终止本合同。</w:t>
      </w:r>
    </w:p>
    <w:p w14:paraId="75CF7671">
      <w:pPr>
        <w:pStyle w:val="38"/>
        <w:shd w:val="clear" w:color="auto" w:fill="FFFFFF"/>
        <w:spacing w:before="0" w:beforeAutospacing="0" w:after="0" w:afterAutospacing="0" w:line="360" w:lineRule="auto"/>
        <w:ind w:firstLine="480" w:firstLineChars="200"/>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4．因甲方采购经费被冻结、收回或未按时划拨，致使甲方无法按合同约定期限付款的，乙方同意免除甲方逾期付款责任，双方另行协商付款期限。</w:t>
      </w:r>
    </w:p>
    <w:p w14:paraId="32FFB7E6">
      <w:pPr>
        <w:pStyle w:val="38"/>
        <w:shd w:val="clear" w:color="auto" w:fill="FFFFFF"/>
        <w:spacing w:before="0" w:beforeAutospacing="0" w:after="0" w:afterAutospacing="0" w:line="360" w:lineRule="auto"/>
        <w:jc w:val="both"/>
        <w:rPr>
          <w:rFonts w:ascii="宋体" w:hAnsi="宋体"/>
          <w:b/>
          <w:bCs/>
          <w:color w:val="000000"/>
          <w:sz w:val="24"/>
          <w:szCs w:val="24"/>
          <w:shd w:val="clear" w:color="auto" w:fill="FFFFFF"/>
        </w:rPr>
      </w:pPr>
      <w:r>
        <w:rPr>
          <w:rFonts w:hint="eastAsia" w:ascii="宋体" w:hAnsi="宋体"/>
          <w:b/>
          <w:bCs/>
          <w:color w:val="000000"/>
          <w:sz w:val="24"/>
          <w:szCs w:val="24"/>
          <w:shd w:val="clear" w:color="auto" w:fill="FFFFFF"/>
        </w:rPr>
        <w:t>第十四条 争议解决</w:t>
      </w:r>
    </w:p>
    <w:p w14:paraId="173ECD4C">
      <w:pPr>
        <w:pStyle w:val="38"/>
        <w:shd w:val="clear" w:color="auto" w:fill="FFFFFF"/>
        <w:spacing w:before="0" w:beforeAutospacing="0" w:after="0" w:afterAutospacing="0" w:line="360" w:lineRule="auto"/>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 xml:space="preserve">    因履行本合同引起的或与本合同有关的争议，双方应首先协商解决；无法协商解决的，任何一方应当通过诉讼解决。通过诉讼解决的，应当向甲方所在地法院提起诉讼。</w:t>
      </w:r>
    </w:p>
    <w:p w14:paraId="5F568ECF">
      <w:pPr>
        <w:pStyle w:val="38"/>
        <w:shd w:val="clear" w:color="auto" w:fill="FFFFFF"/>
        <w:spacing w:before="0" w:beforeAutospacing="0" w:after="0" w:afterAutospacing="0" w:line="360" w:lineRule="auto"/>
        <w:jc w:val="both"/>
        <w:rPr>
          <w:rFonts w:ascii="宋体" w:hAnsi="宋体"/>
          <w:color w:val="000000"/>
          <w:sz w:val="24"/>
          <w:szCs w:val="24"/>
          <w:shd w:val="clear" w:color="auto" w:fill="FFFFFF"/>
        </w:rPr>
      </w:pPr>
      <w:r>
        <w:rPr>
          <w:rFonts w:hint="eastAsia" w:ascii="宋体" w:hAnsi="宋体"/>
          <w:b/>
          <w:bCs/>
          <w:color w:val="000000"/>
          <w:sz w:val="24"/>
          <w:szCs w:val="24"/>
          <w:shd w:val="clear" w:color="auto" w:fill="FFFFFF"/>
        </w:rPr>
        <w:t>第十五条 合同的解释和法律适用</w:t>
      </w:r>
    </w:p>
    <w:p w14:paraId="16B18FDE">
      <w:pPr>
        <w:pStyle w:val="38"/>
        <w:shd w:val="clear" w:color="auto" w:fill="FFFFFF"/>
        <w:spacing w:before="0" w:beforeAutospacing="0" w:after="0" w:afterAutospacing="0" w:line="360" w:lineRule="auto"/>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 xml:space="preserve">    1.任何一方对本合同及其附件的解释均应遵循诚实信用原则,依照本合同签订时有效的中国法律、法规以及通常的理解进行。</w:t>
      </w:r>
    </w:p>
    <w:p w14:paraId="34E8E402">
      <w:pPr>
        <w:pStyle w:val="38"/>
        <w:shd w:val="clear" w:color="auto" w:fill="FFFFFF"/>
        <w:spacing w:before="0" w:beforeAutospacing="0" w:after="0" w:afterAutospacing="0" w:line="360" w:lineRule="auto"/>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 xml:space="preserve">    2.本合同中以“天”表述的时间期限均指自然天。</w:t>
      </w:r>
    </w:p>
    <w:p w14:paraId="657FE895">
      <w:pPr>
        <w:pStyle w:val="38"/>
        <w:shd w:val="clear" w:color="auto" w:fill="FFFFFF"/>
        <w:spacing w:before="0" w:beforeAutospacing="0" w:after="0" w:afterAutospacing="0" w:line="360" w:lineRule="auto"/>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 xml:space="preserve">    3.对本合同的任何解释均应以书面作出。</w:t>
      </w:r>
    </w:p>
    <w:p w14:paraId="770A7D62">
      <w:pPr>
        <w:pStyle w:val="38"/>
        <w:shd w:val="clear" w:color="auto" w:fill="FFFFFF"/>
        <w:spacing w:before="0" w:beforeAutospacing="0" w:after="0" w:afterAutospacing="0" w:line="360" w:lineRule="auto"/>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 xml:space="preserve">    4.本合同及附件的订立、效力、解释、履行、争议的解决等适用本合同签订时有效的中华人民共和国法律、法规的有关规定。</w:t>
      </w:r>
    </w:p>
    <w:p w14:paraId="68790FF6">
      <w:pPr>
        <w:pStyle w:val="38"/>
        <w:shd w:val="clear" w:color="auto" w:fill="FFFFFF"/>
        <w:spacing w:before="0" w:beforeAutospacing="0" w:after="0" w:afterAutospacing="0" w:line="360" w:lineRule="auto"/>
        <w:jc w:val="both"/>
        <w:rPr>
          <w:rFonts w:ascii="宋体" w:hAnsi="宋体"/>
          <w:color w:val="000000"/>
          <w:sz w:val="24"/>
          <w:szCs w:val="24"/>
        </w:rPr>
      </w:pPr>
      <w:r>
        <w:rPr>
          <w:rFonts w:hint="eastAsia" w:ascii="宋体" w:hAnsi="宋体"/>
          <w:b/>
          <w:bCs/>
          <w:color w:val="000000"/>
          <w:sz w:val="24"/>
          <w:szCs w:val="24"/>
          <w:shd w:val="clear" w:color="auto" w:fill="FFFFFF"/>
        </w:rPr>
        <w:t>第十六条 其它事项</w:t>
      </w:r>
    </w:p>
    <w:p w14:paraId="076637D9">
      <w:pPr>
        <w:pStyle w:val="38"/>
        <w:shd w:val="clear" w:color="auto" w:fill="FFFFFF"/>
        <w:spacing w:before="0" w:beforeAutospacing="0" w:after="0" w:afterAutospacing="0" w:line="360" w:lineRule="auto"/>
        <w:jc w:val="both"/>
        <w:rPr>
          <w:rFonts w:ascii="宋体" w:hAnsi="宋体"/>
          <w:color w:val="000000"/>
          <w:sz w:val="24"/>
          <w:szCs w:val="24"/>
        </w:rPr>
      </w:pPr>
      <w:r>
        <w:rPr>
          <w:rFonts w:hint="eastAsia" w:ascii="宋体" w:hAnsi="宋体"/>
          <w:color w:val="000000"/>
          <w:sz w:val="24"/>
          <w:szCs w:val="24"/>
          <w:shd w:val="clear" w:color="auto" w:fill="FFFFFF"/>
        </w:rPr>
        <w:t xml:space="preserve">    1.本合同经双方法定代表人或授权代表签字并加盖单位公章后生效。</w:t>
      </w:r>
    </w:p>
    <w:p w14:paraId="77792D63">
      <w:pPr>
        <w:pStyle w:val="38"/>
        <w:shd w:val="clear" w:color="auto" w:fill="FFFFFF"/>
        <w:spacing w:before="0" w:beforeAutospacing="0" w:after="0" w:afterAutospacing="0" w:line="360" w:lineRule="auto"/>
        <w:jc w:val="both"/>
        <w:rPr>
          <w:rFonts w:ascii="宋体" w:hAnsi="宋体"/>
          <w:color w:val="000000"/>
          <w:sz w:val="24"/>
          <w:szCs w:val="24"/>
        </w:rPr>
      </w:pPr>
      <w:r>
        <w:rPr>
          <w:rFonts w:hint="eastAsia" w:ascii="宋体" w:hAnsi="宋体"/>
          <w:color w:val="000000"/>
          <w:sz w:val="24"/>
          <w:szCs w:val="24"/>
          <w:shd w:val="clear" w:color="auto" w:fill="FFFFFF"/>
        </w:rPr>
        <w:t xml:space="preserve">    2.合同如有未尽事宜，须经双方共同友好协商，作出补充规定，签订补充协议，补充协议与本合同具有同等效力。</w:t>
      </w:r>
    </w:p>
    <w:p w14:paraId="7ECF1996">
      <w:pPr>
        <w:pStyle w:val="38"/>
        <w:shd w:val="clear" w:color="auto" w:fill="FFFFFF"/>
        <w:spacing w:before="0" w:beforeAutospacing="0" w:after="0" w:afterAutospacing="0" w:line="360" w:lineRule="auto"/>
        <w:ind w:firstLine="480"/>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3.双方来往函件，按照合同列明的联系方式送达。任何一方的联系方式发生变更的，应当及时通知到对方。在通知到对方前，对方按本合同列明的联系方式无法与该变更方联系的，由该变更方承担相应的责任。</w:t>
      </w:r>
    </w:p>
    <w:p w14:paraId="6A157B9D">
      <w:pPr>
        <w:pStyle w:val="38"/>
        <w:shd w:val="clear" w:color="auto" w:fill="FFFFFF"/>
        <w:spacing w:before="0" w:beforeAutospacing="0" w:after="0" w:afterAutospacing="0" w:line="360" w:lineRule="auto"/>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 xml:space="preserve">    4.本合同附件：商品清单  ，为本合同不可分割的组成部分，与本合同具有同等法律效力。</w:t>
      </w:r>
    </w:p>
    <w:p w14:paraId="55341412">
      <w:pPr>
        <w:pStyle w:val="38"/>
        <w:shd w:val="clear" w:color="auto" w:fill="FFFFFF"/>
        <w:spacing w:before="0" w:beforeAutospacing="0" w:after="0" w:afterAutospacing="0" w:line="360" w:lineRule="auto"/>
        <w:jc w:val="both"/>
        <w:rPr>
          <w:rFonts w:ascii="宋体" w:hAnsi="宋体"/>
          <w:color w:val="000000"/>
          <w:sz w:val="24"/>
          <w:szCs w:val="24"/>
          <w:shd w:val="clear" w:color="auto" w:fill="FFFFFF"/>
        </w:rPr>
      </w:pPr>
      <w:r>
        <w:rPr>
          <w:rFonts w:hint="eastAsia" w:ascii="宋体" w:hAnsi="宋体"/>
          <w:color w:val="000000"/>
          <w:sz w:val="24"/>
          <w:szCs w:val="24"/>
          <w:shd w:val="clear" w:color="auto" w:fill="FFFFFF"/>
        </w:rPr>
        <w:t xml:space="preserve">    5.本合同一式   </w:t>
      </w:r>
      <w:r>
        <w:rPr>
          <w:rFonts w:ascii="宋体" w:hAnsi="宋体"/>
          <w:color w:val="000000"/>
          <w:sz w:val="24"/>
          <w:szCs w:val="24"/>
          <w:shd w:val="clear" w:color="auto" w:fill="FFFFFF"/>
        </w:rPr>
        <w:t>6</w:t>
      </w:r>
      <w:r>
        <w:rPr>
          <w:rFonts w:hint="eastAsia" w:ascii="宋体" w:hAnsi="宋体"/>
          <w:color w:val="000000"/>
          <w:sz w:val="24"/>
          <w:szCs w:val="24"/>
          <w:shd w:val="clear" w:color="auto" w:fill="FFFFFF"/>
        </w:rPr>
        <w:t xml:space="preserve">  份，甲方   </w:t>
      </w:r>
      <w:r>
        <w:rPr>
          <w:rFonts w:ascii="宋体" w:hAnsi="宋体"/>
          <w:color w:val="000000"/>
          <w:sz w:val="24"/>
          <w:szCs w:val="24"/>
          <w:shd w:val="clear" w:color="auto" w:fill="FFFFFF"/>
        </w:rPr>
        <w:t>4</w:t>
      </w:r>
      <w:r>
        <w:rPr>
          <w:rFonts w:hint="eastAsia" w:ascii="宋体" w:hAnsi="宋体"/>
          <w:color w:val="000000"/>
          <w:sz w:val="24"/>
          <w:szCs w:val="24"/>
          <w:shd w:val="clear" w:color="auto" w:fill="FFFFFF"/>
        </w:rPr>
        <w:t xml:space="preserve">  份，乙方  2 份。</w:t>
      </w:r>
    </w:p>
    <w:tbl>
      <w:tblPr>
        <w:tblStyle w:val="42"/>
        <w:tblW w:w="0" w:type="auto"/>
        <w:tblInd w:w="111" w:type="dxa"/>
        <w:tblLayout w:type="autofit"/>
        <w:tblCellMar>
          <w:top w:w="0" w:type="dxa"/>
          <w:left w:w="108" w:type="dxa"/>
          <w:bottom w:w="0" w:type="dxa"/>
          <w:right w:w="108" w:type="dxa"/>
        </w:tblCellMar>
      </w:tblPr>
      <w:tblGrid>
        <w:gridCol w:w="3456"/>
        <w:gridCol w:w="3576"/>
      </w:tblGrid>
      <w:tr w14:paraId="7AD5E124">
        <w:tblPrEx>
          <w:tblCellMar>
            <w:top w:w="0" w:type="dxa"/>
            <w:left w:w="108" w:type="dxa"/>
            <w:bottom w:w="0" w:type="dxa"/>
            <w:right w:w="108" w:type="dxa"/>
          </w:tblCellMar>
        </w:tblPrEx>
        <w:trPr>
          <w:trHeight w:val="687" w:hRule="atLeast"/>
        </w:trPr>
        <w:tc>
          <w:tcPr>
            <w:tcW w:w="0" w:type="auto"/>
          </w:tcPr>
          <w:p w14:paraId="49F2CECE">
            <w:pPr>
              <w:spacing w:line="360" w:lineRule="auto"/>
              <w:rPr>
                <w:rFonts w:ascii="宋体" w:hAnsi="宋体" w:cs="宋体"/>
                <w:color w:val="000000"/>
                <w:sz w:val="24"/>
              </w:rPr>
            </w:pPr>
          </w:p>
          <w:p w14:paraId="02F48DA1">
            <w:pPr>
              <w:spacing w:line="360" w:lineRule="auto"/>
              <w:rPr>
                <w:rFonts w:ascii="宋体" w:hAnsi="宋体" w:cs="宋体"/>
                <w:color w:val="000000"/>
                <w:kern w:val="0"/>
                <w:sz w:val="24"/>
              </w:rPr>
            </w:pPr>
            <w:r>
              <w:rPr>
                <w:rFonts w:ascii="宋体" w:hAnsi="宋体" w:cs="宋体"/>
                <w:color w:val="000000"/>
                <w:sz w:val="24"/>
              </w:rPr>
              <w:t>甲　方：</w:t>
            </w:r>
            <w:r>
              <w:rPr>
                <w:rFonts w:ascii="宋体" w:hAnsi="宋体" w:cs="宋体"/>
                <w:color w:val="000000"/>
                <w:sz w:val="24"/>
                <w:u w:val="single"/>
              </w:rPr>
              <w:t xml:space="preserve">         </w:t>
            </w:r>
          </w:p>
        </w:tc>
        <w:tc>
          <w:tcPr>
            <w:tcW w:w="0" w:type="auto"/>
          </w:tcPr>
          <w:p w14:paraId="7AEA1654">
            <w:pPr>
              <w:spacing w:line="360" w:lineRule="auto"/>
              <w:rPr>
                <w:rFonts w:ascii="宋体" w:hAnsi="宋体" w:cs="宋体"/>
                <w:color w:val="000000"/>
                <w:sz w:val="24"/>
              </w:rPr>
            </w:pPr>
            <w:r>
              <w:rPr>
                <w:rFonts w:ascii="宋体" w:hAnsi="宋体" w:cs="宋体"/>
                <w:color w:val="000000"/>
                <w:sz w:val="24"/>
              </w:rPr>
              <w:t xml:space="preserve"> </w:t>
            </w:r>
          </w:p>
          <w:p w14:paraId="0167813E">
            <w:pPr>
              <w:spacing w:line="360" w:lineRule="auto"/>
              <w:rPr>
                <w:rFonts w:ascii="宋体" w:hAnsi="宋体" w:cs="宋体"/>
                <w:color w:val="000000"/>
                <w:kern w:val="0"/>
                <w:sz w:val="24"/>
              </w:rPr>
            </w:pPr>
            <w:r>
              <w:rPr>
                <w:rFonts w:ascii="宋体" w:hAnsi="宋体" w:cs="宋体"/>
                <w:color w:val="000000"/>
                <w:sz w:val="24"/>
              </w:rPr>
              <w:t xml:space="preserve"> 乙　方：</w:t>
            </w:r>
            <w:r>
              <w:rPr>
                <w:rFonts w:ascii="宋体" w:hAnsi="宋体" w:cs="宋体"/>
                <w:color w:val="000000"/>
                <w:sz w:val="24"/>
                <w:u w:val="single"/>
              </w:rPr>
              <w:t xml:space="preserve">              </w:t>
            </w:r>
          </w:p>
        </w:tc>
      </w:tr>
      <w:tr w14:paraId="609EDF62">
        <w:tblPrEx>
          <w:tblCellMar>
            <w:top w:w="0" w:type="dxa"/>
            <w:left w:w="108" w:type="dxa"/>
            <w:bottom w:w="0" w:type="dxa"/>
            <w:right w:w="108" w:type="dxa"/>
          </w:tblCellMar>
        </w:tblPrEx>
        <w:trPr>
          <w:trHeight w:val="1236" w:hRule="atLeast"/>
        </w:trPr>
        <w:tc>
          <w:tcPr>
            <w:tcW w:w="0" w:type="auto"/>
          </w:tcPr>
          <w:p w14:paraId="7A2B1611">
            <w:pPr>
              <w:spacing w:line="360" w:lineRule="auto"/>
              <w:rPr>
                <w:rFonts w:ascii="宋体" w:hAnsi="宋体" w:cs="宋体"/>
                <w:color w:val="000000"/>
                <w:kern w:val="0"/>
                <w:sz w:val="24"/>
              </w:rPr>
            </w:pPr>
            <w:r>
              <w:rPr>
                <w:rFonts w:ascii="宋体" w:hAnsi="宋体" w:cs="宋体"/>
                <w:color w:val="000000"/>
                <w:kern w:val="0"/>
                <w:sz w:val="24"/>
              </w:rPr>
              <w:t>单位公章：</w:t>
            </w:r>
          </w:p>
        </w:tc>
        <w:tc>
          <w:tcPr>
            <w:tcW w:w="0" w:type="auto"/>
          </w:tcPr>
          <w:p w14:paraId="61FA7672">
            <w:pPr>
              <w:spacing w:line="360" w:lineRule="auto"/>
              <w:rPr>
                <w:rFonts w:ascii="宋体" w:hAnsi="宋体" w:cs="宋体"/>
                <w:color w:val="000000"/>
                <w:kern w:val="0"/>
                <w:sz w:val="24"/>
              </w:rPr>
            </w:pPr>
            <w:r>
              <w:rPr>
                <w:rFonts w:ascii="宋体" w:hAnsi="宋体" w:cs="宋体"/>
                <w:color w:val="000000"/>
                <w:kern w:val="0"/>
                <w:sz w:val="24"/>
              </w:rPr>
              <w:t xml:space="preserve"> 单位公章：</w:t>
            </w:r>
          </w:p>
        </w:tc>
      </w:tr>
      <w:tr w14:paraId="2058D6F1">
        <w:tblPrEx>
          <w:tblCellMar>
            <w:top w:w="0" w:type="dxa"/>
            <w:left w:w="108" w:type="dxa"/>
            <w:bottom w:w="0" w:type="dxa"/>
            <w:right w:w="108" w:type="dxa"/>
          </w:tblCellMar>
        </w:tblPrEx>
        <w:trPr>
          <w:trHeight w:val="624" w:hRule="atLeast"/>
        </w:trPr>
        <w:tc>
          <w:tcPr>
            <w:tcW w:w="0" w:type="auto"/>
          </w:tcPr>
          <w:p w14:paraId="49ECA8FD">
            <w:pPr>
              <w:spacing w:line="360" w:lineRule="auto"/>
              <w:jc w:val="left"/>
              <w:rPr>
                <w:rFonts w:ascii="宋体" w:hAnsi="宋体" w:cs="宋体"/>
                <w:color w:val="000000"/>
                <w:kern w:val="0"/>
                <w:sz w:val="24"/>
              </w:rPr>
            </w:pPr>
            <w:r>
              <w:rPr>
                <w:rFonts w:ascii="宋体" w:hAnsi="宋体"/>
                <w:color w:val="000000"/>
                <w:sz w:val="24"/>
              </w:rPr>
              <w:t>签字日期：     年 　月 　日</w:t>
            </w:r>
          </w:p>
        </w:tc>
        <w:tc>
          <w:tcPr>
            <w:tcW w:w="0" w:type="auto"/>
          </w:tcPr>
          <w:p w14:paraId="171BCB74">
            <w:pPr>
              <w:spacing w:line="360" w:lineRule="auto"/>
              <w:jc w:val="left"/>
              <w:rPr>
                <w:rFonts w:ascii="宋体" w:hAnsi="宋体" w:cs="宋体"/>
                <w:color w:val="000000"/>
                <w:kern w:val="0"/>
                <w:sz w:val="24"/>
              </w:rPr>
            </w:pPr>
            <w:r>
              <w:rPr>
                <w:rFonts w:ascii="宋体" w:hAnsi="宋体"/>
                <w:color w:val="000000"/>
                <w:sz w:val="24"/>
              </w:rPr>
              <w:t xml:space="preserve"> 签字日期：     年　 月 　日</w:t>
            </w:r>
          </w:p>
        </w:tc>
      </w:tr>
      <w:tr w14:paraId="6A7C88F8">
        <w:tblPrEx>
          <w:tblCellMar>
            <w:top w:w="0" w:type="dxa"/>
            <w:left w:w="108" w:type="dxa"/>
            <w:bottom w:w="0" w:type="dxa"/>
            <w:right w:w="108" w:type="dxa"/>
          </w:tblCellMar>
        </w:tblPrEx>
        <w:trPr>
          <w:trHeight w:val="612" w:hRule="atLeast"/>
        </w:trPr>
        <w:tc>
          <w:tcPr>
            <w:tcW w:w="0" w:type="auto"/>
          </w:tcPr>
          <w:p w14:paraId="0B3A9F11">
            <w:pPr>
              <w:spacing w:line="360" w:lineRule="auto"/>
              <w:rPr>
                <w:rFonts w:ascii="宋体" w:hAnsi="宋体" w:cs="宋体"/>
                <w:color w:val="000000"/>
                <w:kern w:val="0"/>
                <w:sz w:val="24"/>
              </w:rPr>
            </w:pPr>
            <w:r>
              <w:rPr>
                <w:rFonts w:ascii="宋体" w:hAnsi="宋体" w:cs="宋体"/>
                <w:color w:val="000000"/>
                <w:sz w:val="24"/>
              </w:rPr>
              <w:t>授权代表(签字)：</w:t>
            </w:r>
            <w:r>
              <w:rPr>
                <w:rFonts w:ascii="宋体" w:hAnsi="宋体" w:cs="宋体"/>
                <w:color w:val="000000"/>
                <w:sz w:val="24"/>
                <w:u w:val="single"/>
              </w:rPr>
              <w:t xml:space="preserve">        </w:t>
            </w:r>
            <w:r>
              <w:rPr>
                <w:rFonts w:ascii="宋体" w:hAnsi="宋体" w:cs="宋体"/>
                <w:color w:val="000000"/>
                <w:sz w:val="24"/>
                <w:u w:val="single"/>
              </w:rPr>
              <w:tab/>
            </w:r>
            <w:r>
              <w:rPr>
                <w:rFonts w:ascii="宋体" w:hAnsi="宋体" w:cs="宋体"/>
                <w:color w:val="000000"/>
                <w:sz w:val="24"/>
                <w:u w:val="single"/>
              </w:rPr>
              <w:t xml:space="preserve">  </w:t>
            </w:r>
          </w:p>
        </w:tc>
        <w:tc>
          <w:tcPr>
            <w:tcW w:w="0" w:type="auto"/>
          </w:tcPr>
          <w:p w14:paraId="62F4F58A">
            <w:pPr>
              <w:spacing w:line="360" w:lineRule="auto"/>
              <w:rPr>
                <w:rFonts w:ascii="宋体" w:hAnsi="宋体" w:cs="宋体"/>
                <w:color w:val="000000"/>
                <w:kern w:val="0"/>
                <w:sz w:val="24"/>
              </w:rPr>
            </w:pPr>
            <w:r>
              <w:rPr>
                <w:rFonts w:ascii="宋体" w:hAnsi="宋体" w:cs="宋体"/>
                <w:color w:val="000000"/>
                <w:sz w:val="24"/>
              </w:rPr>
              <w:t xml:space="preserve"> 授权代表(签字)：</w:t>
            </w:r>
            <w:r>
              <w:rPr>
                <w:rFonts w:ascii="宋体" w:hAnsi="宋体" w:cs="宋体"/>
                <w:color w:val="000000"/>
                <w:sz w:val="24"/>
                <w:u w:val="single"/>
              </w:rPr>
              <w:t xml:space="preserve">        </w:t>
            </w:r>
            <w:r>
              <w:rPr>
                <w:rFonts w:ascii="宋体" w:hAnsi="宋体" w:cs="宋体"/>
                <w:color w:val="000000"/>
                <w:sz w:val="24"/>
                <w:u w:val="single"/>
              </w:rPr>
              <w:tab/>
            </w:r>
            <w:r>
              <w:rPr>
                <w:rFonts w:ascii="宋体" w:hAnsi="宋体" w:cs="宋体"/>
                <w:color w:val="000000"/>
                <w:sz w:val="24"/>
                <w:u w:val="single"/>
              </w:rPr>
              <w:t xml:space="preserve">  </w:t>
            </w:r>
          </w:p>
        </w:tc>
      </w:tr>
      <w:tr w14:paraId="1EBC50FC">
        <w:tblPrEx>
          <w:tblCellMar>
            <w:top w:w="0" w:type="dxa"/>
            <w:left w:w="108" w:type="dxa"/>
            <w:bottom w:w="0" w:type="dxa"/>
            <w:right w:w="108" w:type="dxa"/>
          </w:tblCellMar>
        </w:tblPrEx>
        <w:trPr>
          <w:trHeight w:val="637" w:hRule="atLeast"/>
        </w:trPr>
        <w:tc>
          <w:tcPr>
            <w:tcW w:w="0" w:type="auto"/>
          </w:tcPr>
          <w:p w14:paraId="469F8A21">
            <w:pPr>
              <w:spacing w:line="360" w:lineRule="auto"/>
              <w:ind w:left="655" w:hanging="655" w:hangingChars="273"/>
              <w:rPr>
                <w:rFonts w:ascii="宋体" w:hAnsi="宋体" w:cs="宋体"/>
                <w:color w:val="000000"/>
                <w:kern w:val="0"/>
                <w:sz w:val="24"/>
                <w:u w:val="single"/>
              </w:rPr>
            </w:pPr>
            <w:r>
              <w:rPr>
                <w:rFonts w:ascii="宋体" w:hAnsi="宋体" w:cs="宋体"/>
                <w:color w:val="000000"/>
                <w:kern w:val="0"/>
                <w:sz w:val="24"/>
              </w:rPr>
              <w:t>地址：</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p>
        </w:tc>
        <w:tc>
          <w:tcPr>
            <w:tcW w:w="0" w:type="auto"/>
          </w:tcPr>
          <w:p w14:paraId="7182ED60">
            <w:pPr>
              <w:spacing w:line="360" w:lineRule="auto"/>
              <w:rPr>
                <w:rFonts w:ascii="宋体" w:hAnsi="宋体" w:cs="宋体"/>
                <w:color w:val="000000"/>
                <w:kern w:val="0"/>
                <w:sz w:val="24"/>
                <w:u w:val="single"/>
              </w:rPr>
            </w:pPr>
            <w:r>
              <w:rPr>
                <w:rFonts w:ascii="宋体" w:hAnsi="宋体" w:cs="宋体"/>
                <w:color w:val="000000"/>
                <w:kern w:val="0"/>
                <w:sz w:val="24"/>
              </w:rPr>
              <w:t xml:space="preserve"> 地址：</w:t>
            </w:r>
            <w:r>
              <w:rPr>
                <w:rFonts w:ascii="宋体" w:hAnsi="宋体" w:cs="宋体"/>
                <w:color w:val="000000"/>
                <w:kern w:val="0"/>
                <w:sz w:val="24"/>
                <w:u w:val="single"/>
              </w:rPr>
              <w:t xml:space="preserve">                            </w:t>
            </w:r>
          </w:p>
          <w:p w14:paraId="46D97077">
            <w:pPr>
              <w:spacing w:line="360" w:lineRule="auto"/>
              <w:rPr>
                <w:rFonts w:ascii="宋体" w:hAnsi="宋体" w:cs="宋体"/>
                <w:color w:val="000000"/>
                <w:kern w:val="0"/>
                <w:sz w:val="24"/>
              </w:rPr>
            </w:pPr>
            <w:r>
              <w:rPr>
                <w:rFonts w:ascii="宋体" w:hAnsi="宋体" w:cs="宋体"/>
                <w:color w:val="000000"/>
                <w:kern w:val="0"/>
                <w:sz w:val="24"/>
              </w:rPr>
              <w:t xml:space="preserve">       </w:t>
            </w:r>
          </w:p>
        </w:tc>
      </w:tr>
      <w:tr w14:paraId="61EC40D4">
        <w:tblPrEx>
          <w:tblCellMar>
            <w:top w:w="0" w:type="dxa"/>
            <w:left w:w="108" w:type="dxa"/>
            <w:bottom w:w="0" w:type="dxa"/>
            <w:right w:w="108" w:type="dxa"/>
          </w:tblCellMar>
        </w:tblPrEx>
        <w:tc>
          <w:tcPr>
            <w:tcW w:w="0" w:type="auto"/>
          </w:tcPr>
          <w:p w14:paraId="397B9F86">
            <w:pPr>
              <w:spacing w:line="360" w:lineRule="auto"/>
              <w:rPr>
                <w:rFonts w:ascii="宋体" w:hAnsi="宋体" w:cs="宋体"/>
                <w:color w:val="000000"/>
                <w:kern w:val="0"/>
                <w:sz w:val="24"/>
              </w:rPr>
            </w:pPr>
            <w:r>
              <w:rPr>
                <w:rFonts w:ascii="宋体" w:hAnsi="宋体" w:cs="宋体"/>
                <w:color w:val="000000"/>
                <w:kern w:val="0"/>
                <w:sz w:val="24"/>
              </w:rPr>
              <w:t>开户银行：</w:t>
            </w:r>
            <w:r>
              <w:rPr>
                <w:rFonts w:ascii="宋体" w:hAnsi="宋体" w:cs="宋体"/>
                <w:color w:val="000000"/>
                <w:kern w:val="0"/>
                <w:sz w:val="24"/>
              </w:rPr>
              <w:tab/>
            </w:r>
            <w:r>
              <w:rPr>
                <w:rFonts w:ascii="宋体" w:hAnsi="宋体" w:cs="宋体"/>
                <w:color w:val="000000"/>
                <w:kern w:val="0"/>
                <w:sz w:val="24"/>
              </w:rPr>
              <w:tab/>
            </w:r>
            <w:r>
              <w:rPr>
                <w:rFonts w:ascii="宋体" w:hAnsi="宋体" w:cs="宋体"/>
                <w:color w:val="000000"/>
                <w:kern w:val="0"/>
                <w:sz w:val="24"/>
              </w:rPr>
              <w:tab/>
            </w:r>
            <w:r>
              <w:rPr>
                <w:rFonts w:ascii="宋体" w:hAnsi="宋体" w:cs="宋体"/>
                <w:color w:val="000000"/>
                <w:kern w:val="0"/>
                <w:sz w:val="24"/>
              </w:rPr>
              <w:t xml:space="preserve">   </w:t>
            </w:r>
            <w:r>
              <w:rPr>
                <w:rFonts w:ascii="宋体" w:hAnsi="宋体" w:cs="宋体"/>
                <w:color w:val="000000"/>
                <w:kern w:val="0"/>
                <w:sz w:val="24"/>
              </w:rPr>
              <w:tab/>
            </w:r>
          </w:p>
        </w:tc>
        <w:tc>
          <w:tcPr>
            <w:tcW w:w="0" w:type="auto"/>
          </w:tcPr>
          <w:p w14:paraId="56A3B890">
            <w:pPr>
              <w:spacing w:line="360" w:lineRule="auto"/>
              <w:ind w:firstLine="240" w:firstLineChars="100"/>
              <w:rPr>
                <w:rFonts w:ascii="宋体" w:hAnsi="宋体" w:cs="宋体"/>
                <w:color w:val="000000"/>
                <w:kern w:val="0"/>
                <w:sz w:val="24"/>
              </w:rPr>
            </w:pPr>
            <w:r>
              <w:rPr>
                <w:rFonts w:ascii="宋体" w:hAnsi="宋体" w:cs="宋体"/>
                <w:color w:val="000000"/>
                <w:kern w:val="0"/>
                <w:sz w:val="24"/>
              </w:rPr>
              <w:t>开户银行：</w:t>
            </w:r>
            <w:r>
              <w:rPr>
                <w:rFonts w:ascii="宋体" w:hAnsi="宋体" w:cs="宋体"/>
                <w:color w:val="000000"/>
                <w:kern w:val="0"/>
                <w:sz w:val="24"/>
              </w:rPr>
              <w:tab/>
            </w:r>
            <w:r>
              <w:rPr>
                <w:rFonts w:ascii="宋体" w:hAnsi="宋体" w:cs="宋体"/>
                <w:color w:val="000000"/>
                <w:kern w:val="0"/>
                <w:sz w:val="24"/>
              </w:rPr>
              <w:tab/>
            </w:r>
            <w:r>
              <w:rPr>
                <w:rFonts w:ascii="宋体" w:hAnsi="宋体" w:cs="宋体"/>
                <w:color w:val="000000"/>
                <w:kern w:val="0"/>
                <w:sz w:val="24"/>
              </w:rPr>
              <w:t xml:space="preserve">   </w:t>
            </w:r>
            <w:r>
              <w:rPr>
                <w:rFonts w:ascii="宋体" w:hAnsi="宋体" w:cs="宋体"/>
                <w:color w:val="000000"/>
                <w:kern w:val="0"/>
                <w:sz w:val="24"/>
              </w:rPr>
              <w:tab/>
            </w:r>
            <w:r>
              <w:rPr>
                <w:rFonts w:ascii="宋体" w:hAnsi="宋体" w:cs="宋体"/>
                <w:color w:val="000000"/>
                <w:kern w:val="0"/>
                <w:sz w:val="24"/>
              </w:rPr>
              <w:tab/>
            </w:r>
          </w:p>
        </w:tc>
      </w:tr>
      <w:tr w14:paraId="09C2FCC2">
        <w:tblPrEx>
          <w:tblCellMar>
            <w:top w:w="0" w:type="dxa"/>
            <w:left w:w="108" w:type="dxa"/>
            <w:bottom w:w="0" w:type="dxa"/>
            <w:right w:w="108" w:type="dxa"/>
          </w:tblCellMar>
        </w:tblPrEx>
        <w:tc>
          <w:tcPr>
            <w:tcW w:w="0" w:type="auto"/>
          </w:tcPr>
          <w:p w14:paraId="3F800106">
            <w:pPr>
              <w:spacing w:line="360" w:lineRule="auto"/>
              <w:rPr>
                <w:rFonts w:ascii="宋体" w:hAnsi="宋体" w:cs="宋体"/>
                <w:color w:val="000000"/>
                <w:kern w:val="0"/>
                <w:sz w:val="24"/>
              </w:rPr>
            </w:pPr>
            <w:r>
              <w:rPr>
                <w:rFonts w:ascii="宋体" w:hAnsi="宋体" w:cs="宋体"/>
                <w:color w:val="000000"/>
                <w:kern w:val="0"/>
                <w:sz w:val="24"/>
              </w:rPr>
              <w:t xml:space="preserve">           </w:t>
            </w:r>
          </w:p>
          <w:p w14:paraId="2CB40E42">
            <w:pPr>
              <w:spacing w:line="360" w:lineRule="auto"/>
              <w:rPr>
                <w:rFonts w:ascii="宋体" w:hAnsi="宋体" w:cs="宋体"/>
                <w:color w:val="000000"/>
                <w:kern w:val="0"/>
                <w:sz w:val="24"/>
              </w:rPr>
            </w:pPr>
            <w:r>
              <w:rPr>
                <w:rFonts w:ascii="宋体" w:hAnsi="宋体" w:cs="宋体"/>
                <w:color w:val="000000"/>
                <w:kern w:val="0"/>
                <w:sz w:val="24"/>
              </w:rPr>
              <w:t xml:space="preserve">账　　号： </w:t>
            </w:r>
          </w:p>
        </w:tc>
        <w:tc>
          <w:tcPr>
            <w:tcW w:w="0" w:type="auto"/>
          </w:tcPr>
          <w:p w14:paraId="1293D3F8">
            <w:pPr>
              <w:spacing w:line="360" w:lineRule="auto"/>
              <w:rPr>
                <w:rFonts w:ascii="宋体" w:hAnsi="宋体" w:cs="宋体"/>
                <w:color w:val="000000"/>
                <w:kern w:val="0"/>
                <w:sz w:val="24"/>
              </w:rPr>
            </w:pPr>
          </w:p>
          <w:p w14:paraId="4C378A57">
            <w:pPr>
              <w:spacing w:line="360" w:lineRule="auto"/>
              <w:ind w:firstLine="240" w:firstLineChars="100"/>
              <w:rPr>
                <w:rFonts w:ascii="宋体" w:hAnsi="宋体" w:cs="宋体"/>
                <w:color w:val="000000"/>
                <w:kern w:val="0"/>
                <w:sz w:val="24"/>
              </w:rPr>
            </w:pPr>
            <w:r>
              <w:rPr>
                <w:rFonts w:ascii="宋体" w:hAnsi="宋体" w:cs="宋体"/>
                <w:color w:val="000000"/>
                <w:kern w:val="0"/>
                <w:sz w:val="24"/>
              </w:rPr>
              <w:t>账　　号：</w:t>
            </w:r>
            <w:r>
              <w:rPr>
                <w:rFonts w:ascii="宋体" w:hAnsi="宋体" w:cs="宋体"/>
                <w:color w:val="000000"/>
                <w:kern w:val="0"/>
                <w:sz w:val="24"/>
              </w:rPr>
              <w:tab/>
            </w:r>
            <w:r>
              <w:rPr>
                <w:rFonts w:ascii="宋体" w:hAnsi="宋体" w:cs="宋体"/>
                <w:color w:val="000000"/>
                <w:kern w:val="0"/>
                <w:sz w:val="24"/>
              </w:rPr>
              <w:tab/>
            </w:r>
            <w:r>
              <w:rPr>
                <w:rFonts w:ascii="宋体" w:hAnsi="宋体" w:cs="宋体"/>
                <w:color w:val="000000"/>
                <w:kern w:val="0"/>
                <w:sz w:val="24"/>
              </w:rPr>
              <w:t xml:space="preserve">   </w:t>
            </w:r>
            <w:r>
              <w:rPr>
                <w:rFonts w:ascii="宋体" w:hAnsi="宋体" w:cs="宋体"/>
                <w:color w:val="000000"/>
                <w:kern w:val="0"/>
                <w:sz w:val="24"/>
              </w:rPr>
              <w:tab/>
            </w:r>
            <w:r>
              <w:rPr>
                <w:rFonts w:ascii="宋体" w:hAnsi="宋体" w:cs="宋体"/>
                <w:color w:val="000000"/>
                <w:kern w:val="0"/>
                <w:sz w:val="24"/>
              </w:rPr>
              <w:tab/>
            </w:r>
          </w:p>
        </w:tc>
      </w:tr>
    </w:tbl>
    <w:p w14:paraId="18674717">
      <w:pPr>
        <w:spacing w:line="360" w:lineRule="auto"/>
        <w:ind w:firstLine="240" w:firstLineChars="100"/>
        <w:rPr>
          <w:rFonts w:ascii="宋体" w:hAnsi="宋体" w:cs="Arial"/>
          <w:b/>
          <w:color w:val="000000"/>
          <w:kern w:val="0"/>
          <w:sz w:val="28"/>
          <w:szCs w:val="28"/>
        </w:rPr>
      </w:pPr>
      <w:r>
        <w:rPr>
          <w:rFonts w:hint="eastAsia" w:ascii="宋体" w:hAnsi="宋体" w:cs="宋体"/>
          <w:color w:val="000000"/>
          <w:kern w:val="0"/>
          <w:sz w:val="24"/>
        </w:rPr>
        <w:t>税    号：</w:t>
      </w:r>
      <w:r>
        <w:rPr>
          <w:rFonts w:ascii="宋体" w:hAnsi="宋体" w:cs="宋体"/>
          <w:color w:val="000000"/>
          <w:kern w:val="0"/>
          <w:sz w:val="24"/>
        </w:rPr>
        <w:t xml:space="preserve"> </w:t>
      </w:r>
    </w:p>
    <w:p w14:paraId="4D1F0210">
      <w:pPr>
        <w:rPr>
          <w:color w:val="000000"/>
        </w:rPr>
      </w:pPr>
    </w:p>
    <w:p w14:paraId="399F0F4E">
      <w:pPr>
        <w:rPr>
          <w:color w:val="000000"/>
        </w:rPr>
      </w:pPr>
    </w:p>
    <w:p w14:paraId="261B07F7">
      <w:pPr>
        <w:rPr>
          <w:color w:val="000000"/>
        </w:rPr>
      </w:pPr>
    </w:p>
    <w:p w14:paraId="760D6665">
      <w:pPr>
        <w:pStyle w:val="2"/>
        <w:spacing w:before="0" w:after="0"/>
        <w:jc w:val="center"/>
        <w:rPr>
          <w:rFonts w:ascii="宋体" w:hAnsi="宋体"/>
          <w:color w:val="000000"/>
          <w:sz w:val="24"/>
          <w:szCs w:val="24"/>
        </w:rPr>
      </w:pPr>
      <w:r>
        <w:rPr>
          <w:rFonts w:hint="eastAsia" w:ascii="宋体" w:hAnsi="宋体"/>
          <w:color w:val="000000"/>
          <w:sz w:val="24"/>
          <w:szCs w:val="24"/>
        </w:rPr>
        <w:br w:type="page"/>
      </w:r>
      <w:bookmarkStart w:id="48" w:name="_Toc3620"/>
      <w:r>
        <w:rPr>
          <w:rFonts w:hint="eastAsia" w:ascii="宋体" w:hAnsi="宋体"/>
          <w:color w:val="000000"/>
          <w:sz w:val="24"/>
          <w:szCs w:val="24"/>
        </w:rPr>
        <w:t xml:space="preserve">第五章 </w:t>
      </w:r>
      <w:bookmarkStart w:id="49" w:name="OLE_LINK4"/>
      <w:bookmarkStart w:id="50" w:name="OLE_LINK5"/>
      <w:r>
        <w:rPr>
          <w:rFonts w:ascii="宋体" w:hAnsi="宋体"/>
          <w:color w:val="000000"/>
          <w:sz w:val="24"/>
          <w:szCs w:val="24"/>
        </w:rPr>
        <w:t xml:space="preserve"> </w:t>
      </w:r>
      <w:r>
        <w:rPr>
          <w:rFonts w:hint="eastAsia" w:ascii="宋体" w:hAnsi="宋体"/>
          <w:color w:val="000000"/>
          <w:sz w:val="24"/>
          <w:szCs w:val="24"/>
        </w:rPr>
        <w:t>货物需求及服务需求</w:t>
      </w:r>
      <w:bookmarkEnd w:id="48"/>
      <w:bookmarkEnd w:id="49"/>
      <w:bookmarkEnd w:id="50"/>
    </w:p>
    <w:p w14:paraId="7B1E1E75"/>
    <w:p w14:paraId="4D8372C0">
      <w:pPr>
        <w:spacing w:before="120" w:beforeLines="50" w:after="120" w:afterLines="50" w:line="360" w:lineRule="auto"/>
        <w:rPr>
          <w:rFonts w:ascii="宋体" w:hAnsi="宋体" w:cs="宋体"/>
          <w:b/>
          <w:bCs/>
          <w:color w:val="000000"/>
          <w:sz w:val="24"/>
          <w:szCs w:val="32"/>
        </w:rPr>
      </w:pPr>
      <w:r>
        <w:rPr>
          <w:rFonts w:hint="eastAsia" w:ascii="宋体" w:hAnsi="宋体" w:cs="宋体"/>
          <w:b/>
          <w:bCs/>
          <w:color w:val="000000"/>
          <w:sz w:val="24"/>
          <w:szCs w:val="32"/>
        </w:rPr>
        <w:t>一、需求信息一览表</w:t>
      </w:r>
    </w:p>
    <w:tbl>
      <w:tblPr>
        <w:tblStyle w:val="42"/>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2275"/>
        <w:gridCol w:w="2487"/>
        <w:gridCol w:w="691"/>
        <w:gridCol w:w="1236"/>
        <w:gridCol w:w="691"/>
        <w:gridCol w:w="945"/>
      </w:tblGrid>
      <w:tr w14:paraId="5047E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exact"/>
          <w:jc w:val="center"/>
        </w:trPr>
        <w:tc>
          <w:tcPr>
            <w:tcW w:w="699" w:type="dxa"/>
            <w:vAlign w:val="center"/>
          </w:tcPr>
          <w:p w14:paraId="46D62084">
            <w:pPr>
              <w:jc w:val="center"/>
              <w:rPr>
                <w:rFonts w:ascii="仿宋_GB2312"/>
                <w:sz w:val="24"/>
              </w:rPr>
            </w:pPr>
            <w:bookmarkStart w:id="51" w:name="_Toc73427850"/>
            <w:r>
              <w:rPr>
                <w:rFonts w:ascii="仿宋_GB2312"/>
                <w:sz w:val="24"/>
              </w:rPr>
              <w:t>序号</w:t>
            </w:r>
          </w:p>
        </w:tc>
        <w:tc>
          <w:tcPr>
            <w:tcW w:w="2275" w:type="dxa"/>
            <w:vAlign w:val="center"/>
          </w:tcPr>
          <w:p w14:paraId="1FAA4FF5">
            <w:pPr>
              <w:jc w:val="center"/>
              <w:rPr>
                <w:rFonts w:ascii="仿宋_GB2312"/>
                <w:sz w:val="24"/>
              </w:rPr>
            </w:pPr>
            <w:r>
              <w:rPr>
                <w:rFonts w:ascii="仿宋_GB2312"/>
                <w:sz w:val="24"/>
              </w:rPr>
              <w:t>名称</w:t>
            </w:r>
          </w:p>
        </w:tc>
        <w:tc>
          <w:tcPr>
            <w:tcW w:w="2487" w:type="dxa"/>
            <w:vAlign w:val="center"/>
          </w:tcPr>
          <w:p w14:paraId="63CA21F9">
            <w:pPr>
              <w:jc w:val="center"/>
              <w:rPr>
                <w:rFonts w:ascii="仿宋_GB2312"/>
                <w:sz w:val="24"/>
              </w:rPr>
            </w:pPr>
            <w:r>
              <w:rPr>
                <w:rFonts w:ascii="仿宋_GB2312"/>
                <w:sz w:val="24"/>
              </w:rPr>
              <w:t>简要技术需求</w:t>
            </w:r>
          </w:p>
        </w:tc>
        <w:tc>
          <w:tcPr>
            <w:tcW w:w="691" w:type="dxa"/>
            <w:vAlign w:val="center"/>
          </w:tcPr>
          <w:p w14:paraId="5C864198">
            <w:pPr>
              <w:jc w:val="center"/>
              <w:rPr>
                <w:rFonts w:ascii="仿宋_GB2312"/>
                <w:sz w:val="24"/>
              </w:rPr>
            </w:pPr>
            <w:r>
              <w:rPr>
                <w:rFonts w:ascii="仿宋_GB2312"/>
                <w:sz w:val="24"/>
              </w:rPr>
              <w:t>数量</w:t>
            </w:r>
          </w:p>
        </w:tc>
        <w:tc>
          <w:tcPr>
            <w:tcW w:w="1236" w:type="dxa"/>
            <w:vAlign w:val="center"/>
          </w:tcPr>
          <w:p w14:paraId="258F52E4">
            <w:pPr>
              <w:jc w:val="center"/>
              <w:rPr>
                <w:rFonts w:ascii="仿宋_GB2312"/>
                <w:sz w:val="24"/>
              </w:rPr>
            </w:pPr>
            <w:r>
              <w:rPr>
                <w:rFonts w:ascii="仿宋_GB2312"/>
                <w:sz w:val="24"/>
              </w:rPr>
              <w:t>是否接受进口</w:t>
            </w:r>
          </w:p>
        </w:tc>
        <w:tc>
          <w:tcPr>
            <w:tcW w:w="691" w:type="dxa"/>
            <w:vAlign w:val="center"/>
          </w:tcPr>
          <w:p w14:paraId="066BB32C">
            <w:pPr>
              <w:jc w:val="center"/>
              <w:rPr>
                <w:rFonts w:ascii="仿宋_GB2312"/>
                <w:sz w:val="24"/>
              </w:rPr>
            </w:pPr>
            <w:r>
              <w:rPr>
                <w:rFonts w:ascii="仿宋_GB2312"/>
                <w:sz w:val="24"/>
              </w:rPr>
              <w:t>是否免税</w:t>
            </w:r>
          </w:p>
        </w:tc>
        <w:tc>
          <w:tcPr>
            <w:tcW w:w="945" w:type="dxa"/>
            <w:vAlign w:val="center"/>
          </w:tcPr>
          <w:p w14:paraId="6CC55741">
            <w:pPr>
              <w:jc w:val="center"/>
              <w:rPr>
                <w:rFonts w:ascii="仿宋_GB2312"/>
                <w:spacing w:val="-20"/>
                <w:sz w:val="24"/>
              </w:rPr>
            </w:pPr>
            <w:r>
              <w:rPr>
                <w:rFonts w:ascii="仿宋_GB2312"/>
                <w:spacing w:val="-20"/>
                <w:sz w:val="24"/>
              </w:rPr>
              <w:t>预算</w:t>
            </w:r>
          </w:p>
          <w:p w14:paraId="69B14243">
            <w:pPr>
              <w:jc w:val="center"/>
              <w:rPr>
                <w:rFonts w:ascii="仿宋_GB2312"/>
                <w:spacing w:val="-20"/>
                <w:sz w:val="24"/>
              </w:rPr>
            </w:pPr>
            <w:r>
              <w:rPr>
                <w:rFonts w:ascii="仿宋_GB2312"/>
                <w:spacing w:val="-20"/>
                <w:sz w:val="24"/>
              </w:rPr>
              <w:t>（万元）</w:t>
            </w:r>
          </w:p>
        </w:tc>
      </w:tr>
      <w:tr w14:paraId="637F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2" w:hRule="atLeast"/>
          <w:jc w:val="center"/>
        </w:trPr>
        <w:tc>
          <w:tcPr>
            <w:tcW w:w="699" w:type="dxa"/>
            <w:vAlign w:val="center"/>
          </w:tcPr>
          <w:p w14:paraId="70CFD49F">
            <w:pPr>
              <w:spacing w:line="440" w:lineRule="atLeast"/>
              <w:jc w:val="center"/>
              <w:rPr>
                <w:rFonts w:ascii="宋体" w:hAnsi="宋体"/>
                <w:color w:val="000000"/>
                <w:sz w:val="24"/>
              </w:rPr>
            </w:pPr>
            <w:r>
              <w:rPr>
                <w:rFonts w:ascii="宋体" w:hAnsi="宋体"/>
                <w:color w:val="000000"/>
                <w:sz w:val="24"/>
              </w:rPr>
              <w:t>01</w:t>
            </w:r>
          </w:p>
        </w:tc>
        <w:tc>
          <w:tcPr>
            <w:tcW w:w="2275" w:type="dxa"/>
            <w:vAlign w:val="center"/>
          </w:tcPr>
          <w:p w14:paraId="701CC66E">
            <w:pPr>
              <w:spacing w:line="440" w:lineRule="atLeast"/>
              <w:jc w:val="center"/>
              <w:rPr>
                <w:rFonts w:ascii="宋体" w:hAnsi="宋体"/>
                <w:color w:val="000000"/>
                <w:sz w:val="24"/>
              </w:rPr>
            </w:pPr>
            <w:r>
              <w:rPr>
                <w:rFonts w:hint="eastAsia" w:ascii="宋体" w:hAnsi="宋体"/>
                <w:color w:val="000000"/>
                <w:sz w:val="24"/>
              </w:rPr>
              <w:t>大客车</w:t>
            </w:r>
          </w:p>
        </w:tc>
        <w:tc>
          <w:tcPr>
            <w:tcW w:w="2487" w:type="dxa"/>
            <w:vAlign w:val="center"/>
          </w:tcPr>
          <w:p w14:paraId="1AF54EBE">
            <w:pPr>
              <w:spacing w:line="440" w:lineRule="atLeast"/>
              <w:jc w:val="center"/>
              <w:rPr>
                <w:rFonts w:ascii="宋体" w:hAnsi="宋体"/>
                <w:color w:val="000000"/>
                <w:sz w:val="24"/>
              </w:rPr>
            </w:pPr>
            <w:r>
              <w:rPr>
                <w:rFonts w:hint="eastAsia" w:ascii="宋体" w:hAnsi="宋体"/>
                <w:color w:val="000000"/>
                <w:sz w:val="24"/>
              </w:rPr>
              <w:t>54座</w:t>
            </w:r>
          </w:p>
        </w:tc>
        <w:tc>
          <w:tcPr>
            <w:tcW w:w="691" w:type="dxa"/>
            <w:vAlign w:val="center"/>
          </w:tcPr>
          <w:p w14:paraId="4FDA8E56">
            <w:pPr>
              <w:spacing w:line="440" w:lineRule="atLeast"/>
              <w:jc w:val="center"/>
              <w:rPr>
                <w:rFonts w:ascii="宋体" w:hAnsi="宋体"/>
                <w:color w:val="000000"/>
                <w:sz w:val="24"/>
              </w:rPr>
            </w:pPr>
            <w:r>
              <w:rPr>
                <w:rFonts w:hint="eastAsia" w:ascii="宋体" w:hAnsi="宋体"/>
                <w:color w:val="000000"/>
                <w:sz w:val="24"/>
              </w:rPr>
              <w:t>2台</w:t>
            </w:r>
          </w:p>
        </w:tc>
        <w:tc>
          <w:tcPr>
            <w:tcW w:w="1236" w:type="dxa"/>
            <w:vAlign w:val="center"/>
          </w:tcPr>
          <w:p w14:paraId="0E9365BE">
            <w:pPr>
              <w:spacing w:line="440" w:lineRule="atLeast"/>
              <w:jc w:val="center"/>
              <w:rPr>
                <w:rFonts w:ascii="宋体" w:hAnsi="宋体"/>
                <w:color w:val="000000"/>
                <w:sz w:val="24"/>
              </w:rPr>
            </w:pPr>
            <w:r>
              <w:rPr>
                <w:rFonts w:ascii="宋体" w:hAnsi="宋体"/>
                <w:color w:val="000000"/>
                <w:sz w:val="24"/>
              </w:rPr>
              <w:t>否</w:t>
            </w:r>
          </w:p>
        </w:tc>
        <w:tc>
          <w:tcPr>
            <w:tcW w:w="691" w:type="dxa"/>
            <w:vAlign w:val="center"/>
          </w:tcPr>
          <w:p w14:paraId="47B2DE19">
            <w:pPr>
              <w:spacing w:line="440" w:lineRule="atLeast"/>
              <w:jc w:val="center"/>
              <w:rPr>
                <w:rFonts w:ascii="宋体" w:hAnsi="宋体"/>
                <w:color w:val="000000"/>
                <w:sz w:val="24"/>
              </w:rPr>
            </w:pPr>
            <w:r>
              <w:rPr>
                <w:rFonts w:ascii="宋体" w:hAnsi="宋体"/>
                <w:color w:val="000000"/>
                <w:sz w:val="24"/>
              </w:rPr>
              <w:t>否</w:t>
            </w:r>
          </w:p>
        </w:tc>
        <w:tc>
          <w:tcPr>
            <w:tcW w:w="945" w:type="dxa"/>
            <w:vAlign w:val="center"/>
          </w:tcPr>
          <w:p w14:paraId="33FF4823">
            <w:pPr>
              <w:spacing w:line="440" w:lineRule="atLeast"/>
              <w:jc w:val="center"/>
              <w:rPr>
                <w:rFonts w:ascii="宋体" w:hAnsi="宋体"/>
                <w:color w:val="000000"/>
                <w:sz w:val="24"/>
              </w:rPr>
            </w:pPr>
            <w:r>
              <w:rPr>
                <w:rFonts w:ascii="宋体" w:hAnsi="宋体"/>
                <w:color w:val="000000"/>
                <w:sz w:val="24"/>
              </w:rPr>
              <w:t>1</w:t>
            </w:r>
            <w:r>
              <w:rPr>
                <w:rFonts w:hint="eastAsia" w:ascii="宋体" w:hAnsi="宋体"/>
                <w:color w:val="000000"/>
                <w:sz w:val="24"/>
              </w:rPr>
              <w:t>6</w:t>
            </w:r>
            <w:r>
              <w:rPr>
                <w:rFonts w:ascii="宋体" w:hAnsi="宋体"/>
                <w:color w:val="000000"/>
                <w:sz w:val="24"/>
              </w:rPr>
              <w:t>0</w:t>
            </w:r>
          </w:p>
        </w:tc>
      </w:tr>
    </w:tbl>
    <w:p w14:paraId="249A10B9">
      <w:pPr>
        <w:snapToGrid w:val="0"/>
        <w:spacing w:line="360" w:lineRule="auto"/>
      </w:pPr>
      <w:r>
        <w:rPr>
          <w:rFonts w:hint="eastAsia" w:ascii="宋体" w:hAnsi="宋体"/>
          <w:b/>
          <w:color w:val="000000"/>
          <w:sz w:val="24"/>
          <w:szCs w:val="24"/>
        </w:rPr>
        <w:t>项目预算（</w:t>
      </w:r>
      <w:r>
        <w:rPr>
          <w:rFonts w:hint="eastAsia" w:ascii="宋体" w:hAnsi="宋体" w:cs="宋体"/>
          <w:b/>
          <w:color w:val="000000"/>
          <w:kern w:val="0"/>
          <w:sz w:val="24"/>
          <w:szCs w:val="24"/>
        </w:rPr>
        <w:t>最高投标限价）</w:t>
      </w:r>
      <w:r>
        <w:rPr>
          <w:rFonts w:hint="eastAsia" w:ascii="宋体" w:hAnsi="宋体"/>
          <w:b/>
          <w:color w:val="000000"/>
          <w:sz w:val="24"/>
          <w:szCs w:val="24"/>
        </w:rPr>
        <w:t>：160</w:t>
      </w:r>
      <w:r>
        <w:rPr>
          <w:rFonts w:ascii="宋体" w:hAnsi="宋体"/>
          <w:b/>
          <w:color w:val="000000"/>
          <w:sz w:val="24"/>
          <w:szCs w:val="24"/>
        </w:rPr>
        <w:t>.00</w:t>
      </w:r>
      <w:r>
        <w:rPr>
          <w:rFonts w:hint="eastAsia" w:ascii="宋体" w:hAnsi="宋体"/>
          <w:b/>
          <w:color w:val="000000"/>
          <w:sz w:val="24"/>
          <w:szCs w:val="24"/>
        </w:rPr>
        <w:t>万元</w:t>
      </w:r>
      <w:bookmarkStart w:id="52" w:name="_Toc35393790"/>
      <w:bookmarkStart w:id="53" w:name="_Hlk24379207"/>
      <w:bookmarkStart w:id="54" w:name="_Toc28359002"/>
      <w:bookmarkStart w:id="55" w:name="_Toc35393621"/>
      <w:bookmarkStart w:id="56" w:name="_Toc28359079"/>
      <w:bookmarkStart w:id="57" w:name="_Toc512937850"/>
      <w:bookmarkStart w:id="58" w:name="_Toc520356168"/>
    </w:p>
    <w:bookmarkEnd w:id="52"/>
    <w:bookmarkEnd w:id="53"/>
    <w:bookmarkEnd w:id="54"/>
    <w:bookmarkEnd w:id="55"/>
    <w:bookmarkEnd w:id="56"/>
    <w:bookmarkEnd w:id="57"/>
    <w:bookmarkEnd w:id="58"/>
    <w:p w14:paraId="45805F26">
      <w:pPr>
        <w:spacing w:before="120" w:beforeLines="50" w:after="120" w:afterLines="50" w:line="360" w:lineRule="auto"/>
        <w:rPr>
          <w:rFonts w:ascii="宋体" w:hAnsi="宋体" w:cs="宋体"/>
          <w:b/>
          <w:bCs/>
          <w:color w:val="000000"/>
          <w:sz w:val="24"/>
          <w:szCs w:val="32"/>
        </w:rPr>
      </w:pPr>
      <w:r>
        <w:rPr>
          <w:rFonts w:hint="eastAsia" w:ascii="宋体" w:hAnsi="宋体" w:cs="宋体"/>
          <w:b/>
          <w:bCs/>
          <w:color w:val="000000"/>
          <w:sz w:val="24"/>
          <w:szCs w:val="32"/>
        </w:rPr>
        <w:t>二、技术参数</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3"/>
        <w:gridCol w:w="3221"/>
        <w:gridCol w:w="2752"/>
      </w:tblGrid>
      <w:tr w14:paraId="31ACC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jc w:val="center"/>
        </w:trPr>
        <w:tc>
          <w:tcPr>
            <w:tcW w:w="2323" w:type="dxa"/>
            <w:shd w:val="clear" w:color="auto" w:fill="D7D7D7"/>
            <w:vAlign w:val="center"/>
          </w:tcPr>
          <w:p w14:paraId="3FF0628B">
            <w:pPr>
              <w:jc w:val="center"/>
              <w:rPr>
                <w:rFonts w:ascii="宋体" w:hAnsi="宋体" w:cs="宋体"/>
                <w:b/>
                <w:bCs/>
                <w:sz w:val="24"/>
                <w:szCs w:val="24"/>
                <w:highlight w:val="none"/>
              </w:rPr>
            </w:pPr>
            <w:r>
              <w:rPr>
                <w:rFonts w:hint="eastAsia" w:ascii="宋体" w:hAnsi="宋体" w:cs="宋体"/>
                <w:b/>
                <w:bCs/>
                <w:sz w:val="24"/>
                <w:szCs w:val="24"/>
                <w:highlight w:val="none"/>
              </w:rPr>
              <w:t>配置项</w:t>
            </w:r>
          </w:p>
        </w:tc>
        <w:tc>
          <w:tcPr>
            <w:tcW w:w="3221" w:type="dxa"/>
            <w:shd w:val="clear" w:color="auto" w:fill="D7D7D7"/>
            <w:vAlign w:val="center"/>
          </w:tcPr>
          <w:p w14:paraId="7DFE4BF8">
            <w:pPr>
              <w:jc w:val="center"/>
              <w:rPr>
                <w:rFonts w:ascii="宋体" w:hAnsi="宋体" w:cs="宋体"/>
                <w:b/>
                <w:bCs/>
                <w:sz w:val="24"/>
                <w:szCs w:val="24"/>
                <w:highlight w:val="none"/>
              </w:rPr>
            </w:pPr>
            <w:r>
              <w:rPr>
                <w:rFonts w:hint="eastAsia" w:ascii="宋体" w:hAnsi="宋体" w:cs="宋体"/>
                <w:b/>
                <w:bCs/>
                <w:sz w:val="24"/>
                <w:szCs w:val="24"/>
                <w:highlight w:val="none"/>
              </w:rPr>
              <w:t>配置描述</w:t>
            </w:r>
          </w:p>
        </w:tc>
        <w:tc>
          <w:tcPr>
            <w:tcW w:w="2752" w:type="dxa"/>
            <w:shd w:val="clear" w:color="auto" w:fill="D7D7D7"/>
            <w:vAlign w:val="center"/>
          </w:tcPr>
          <w:p w14:paraId="6630B8EC">
            <w:pPr>
              <w:jc w:val="center"/>
              <w:rPr>
                <w:rFonts w:ascii="宋体" w:hAnsi="宋体" w:cs="宋体"/>
                <w:b/>
                <w:bCs/>
                <w:sz w:val="24"/>
                <w:szCs w:val="24"/>
                <w:highlight w:val="none"/>
              </w:rPr>
            </w:pPr>
            <w:r>
              <w:rPr>
                <w:rFonts w:hint="eastAsia" w:ascii="宋体" w:hAnsi="宋体" w:cs="宋体"/>
                <w:b/>
                <w:bCs/>
                <w:sz w:val="24"/>
                <w:szCs w:val="24"/>
                <w:highlight w:val="none"/>
              </w:rPr>
              <w:t>备注</w:t>
            </w:r>
          </w:p>
        </w:tc>
      </w:tr>
      <w:tr w14:paraId="482A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vAlign w:val="center"/>
          </w:tcPr>
          <w:p w14:paraId="6403425C">
            <w:pPr>
              <w:tabs>
                <w:tab w:val="center" w:pos="1073"/>
              </w:tabs>
              <w:jc w:val="center"/>
              <w:rPr>
                <w:rFonts w:ascii="宋体" w:hAnsi="宋体" w:cs="宋体"/>
                <w:sz w:val="24"/>
                <w:szCs w:val="24"/>
                <w:highlight w:val="none"/>
              </w:rPr>
            </w:pPr>
            <w:r>
              <w:rPr>
                <w:rFonts w:hint="eastAsia" w:ascii="宋体" w:hAnsi="宋体" w:cs="宋体"/>
                <w:color w:val="000000"/>
                <w:sz w:val="24"/>
                <w:szCs w:val="24"/>
                <w:highlight w:val="none"/>
              </w:rPr>
              <w:t>★</w:t>
            </w:r>
            <w:r>
              <w:rPr>
                <w:rFonts w:hint="eastAsia" w:ascii="宋体" w:hAnsi="宋体" w:cs="宋体"/>
                <w:sz w:val="24"/>
                <w:szCs w:val="24"/>
                <w:highlight w:val="none"/>
              </w:rPr>
              <w:t>车辆座位数</w:t>
            </w:r>
          </w:p>
        </w:tc>
        <w:tc>
          <w:tcPr>
            <w:tcW w:w="3221" w:type="dxa"/>
            <w:vAlign w:val="center"/>
          </w:tcPr>
          <w:p w14:paraId="57F7CEDE">
            <w:pPr>
              <w:rPr>
                <w:rFonts w:ascii="宋体" w:hAnsi="宋体" w:cs="宋体"/>
                <w:sz w:val="24"/>
                <w:szCs w:val="24"/>
                <w:highlight w:val="none"/>
              </w:rPr>
            </w:pPr>
            <w:r>
              <w:rPr>
                <w:rFonts w:hint="eastAsia" w:ascii="宋体" w:hAnsi="宋体" w:cs="宋体"/>
                <w:sz w:val="24"/>
                <w:szCs w:val="24"/>
                <w:highlight w:val="none"/>
              </w:rPr>
              <w:t>54</w:t>
            </w:r>
          </w:p>
        </w:tc>
        <w:tc>
          <w:tcPr>
            <w:tcW w:w="2752" w:type="dxa"/>
            <w:vAlign w:val="center"/>
          </w:tcPr>
          <w:p w14:paraId="5D7CE766">
            <w:pPr>
              <w:jc w:val="left"/>
              <w:rPr>
                <w:rFonts w:ascii="宋体" w:hAnsi="宋体" w:cs="宋体"/>
                <w:sz w:val="24"/>
                <w:szCs w:val="24"/>
                <w:highlight w:val="none"/>
              </w:rPr>
            </w:pPr>
          </w:p>
        </w:tc>
      </w:tr>
      <w:tr w14:paraId="653D6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vAlign w:val="center"/>
          </w:tcPr>
          <w:p w14:paraId="7CCEDBF2">
            <w:pPr>
              <w:tabs>
                <w:tab w:val="center" w:pos="1073"/>
              </w:tabs>
              <w:jc w:val="center"/>
              <w:rPr>
                <w:rFonts w:ascii="宋体" w:hAnsi="宋体" w:cs="宋体"/>
                <w:sz w:val="24"/>
                <w:szCs w:val="24"/>
                <w:highlight w:val="none"/>
              </w:rPr>
            </w:pPr>
            <w:r>
              <w:rPr>
                <w:rFonts w:hint="eastAsia" w:ascii="宋体" w:hAnsi="宋体" w:cs="宋体"/>
                <w:color w:val="000000"/>
                <w:sz w:val="24"/>
                <w:szCs w:val="24"/>
                <w:highlight w:val="none"/>
              </w:rPr>
              <w:t>★</w:t>
            </w:r>
            <w:r>
              <w:rPr>
                <w:rFonts w:hint="eastAsia" w:ascii="宋体" w:hAnsi="宋体" w:cs="宋体"/>
                <w:sz w:val="24"/>
                <w:szCs w:val="24"/>
                <w:highlight w:val="none"/>
              </w:rPr>
              <w:t>车长（㎜）</w:t>
            </w:r>
          </w:p>
        </w:tc>
        <w:tc>
          <w:tcPr>
            <w:tcW w:w="3221" w:type="dxa"/>
            <w:vAlign w:val="center"/>
          </w:tcPr>
          <w:p w14:paraId="25C5F9F1">
            <w:pPr>
              <w:rPr>
                <w:rFonts w:ascii="宋体" w:hAnsi="宋体" w:cs="宋体"/>
                <w:sz w:val="24"/>
                <w:szCs w:val="24"/>
                <w:highlight w:val="none"/>
              </w:rPr>
            </w:pPr>
            <w:r>
              <w:rPr>
                <w:rFonts w:ascii="宋体" w:hAnsi="宋体" w:cs="宋体"/>
                <w:sz w:val="24"/>
                <w:szCs w:val="24"/>
                <w:highlight w:val="none"/>
              </w:rPr>
              <w:t>11650</w:t>
            </w:r>
            <w:r>
              <w:rPr>
                <w:rFonts w:hint="eastAsia" w:ascii="宋体" w:hAnsi="宋体" w:cs="宋体"/>
                <w:sz w:val="24"/>
                <w:szCs w:val="24"/>
                <w:highlight w:val="none"/>
              </w:rPr>
              <w:t>-</w:t>
            </w:r>
            <w:r>
              <w:rPr>
                <w:rFonts w:ascii="宋体" w:hAnsi="宋体" w:cs="宋体"/>
                <w:sz w:val="24"/>
                <w:szCs w:val="24"/>
                <w:highlight w:val="none"/>
              </w:rPr>
              <w:t>12000</w:t>
            </w:r>
          </w:p>
        </w:tc>
        <w:tc>
          <w:tcPr>
            <w:tcW w:w="2752" w:type="dxa"/>
            <w:vAlign w:val="center"/>
          </w:tcPr>
          <w:p w14:paraId="7E404891">
            <w:pPr>
              <w:rPr>
                <w:rFonts w:ascii="宋体" w:hAnsi="宋体" w:cs="宋体"/>
                <w:sz w:val="24"/>
                <w:szCs w:val="24"/>
                <w:highlight w:val="none"/>
              </w:rPr>
            </w:pPr>
          </w:p>
        </w:tc>
      </w:tr>
      <w:tr w14:paraId="1689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vAlign w:val="center"/>
          </w:tcPr>
          <w:p w14:paraId="74D30DC3">
            <w:pPr>
              <w:tabs>
                <w:tab w:val="center" w:pos="1073"/>
              </w:tabs>
              <w:jc w:val="center"/>
              <w:rPr>
                <w:rFonts w:ascii="宋体" w:hAnsi="宋体" w:cs="宋体"/>
                <w:sz w:val="24"/>
                <w:szCs w:val="24"/>
                <w:highlight w:val="none"/>
              </w:rPr>
            </w:pPr>
            <w:r>
              <w:rPr>
                <w:rFonts w:hint="eastAsia" w:ascii="宋体" w:hAnsi="宋体" w:cs="宋体"/>
                <w:color w:val="000000"/>
                <w:sz w:val="24"/>
                <w:szCs w:val="24"/>
                <w:highlight w:val="none"/>
              </w:rPr>
              <w:t>★</w:t>
            </w:r>
            <w:r>
              <w:rPr>
                <w:rFonts w:hint="eastAsia" w:ascii="宋体" w:hAnsi="宋体" w:cs="宋体"/>
                <w:sz w:val="24"/>
                <w:szCs w:val="24"/>
                <w:highlight w:val="none"/>
              </w:rPr>
              <w:t>车宽（㎜）</w:t>
            </w:r>
          </w:p>
        </w:tc>
        <w:tc>
          <w:tcPr>
            <w:tcW w:w="3221" w:type="dxa"/>
            <w:vAlign w:val="center"/>
          </w:tcPr>
          <w:p w14:paraId="4D42B64E">
            <w:pPr>
              <w:rPr>
                <w:rFonts w:ascii="宋体" w:hAnsi="宋体" w:cs="宋体"/>
                <w:sz w:val="24"/>
                <w:szCs w:val="24"/>
                <w:highlight w:val="none"/>
              </w:rPr>
            </w:pPr>
            <w:r>
              <w:rPr>
                <w:rFonts w:hint="eastAsia" w:ascii="宋体" w:hAnsi="宋体" w:cs="宋体"/>
                <w:sz w:val="24"/>
                <w:szCs w:val="24"/>
                <w:highlight w:val="none"/>
              </w:rPr>
              <w:t>2</w:t>
            </w:r>
            <w:r>
              <w:rPr>
                <w:rFonts w:ascii="宋体" w:hAnsi="宋体" w:cs="宋体"/>
                <w:sz w:val="24"/>
                <w:szCs w:val="24"/>
                <w:highlight w:val="none"/>
              </w:rPr>
              <w:t>500</w:t>
            </w:r>
            <w:r>
              <w:rPr>
                <w:rFonts w:hint="eastAsia" w:ascii="宋体" w:hAnsi="宋体" w:cs="宋体"/>
                <w:sz w:val="24"/>
                <w:szCs w:val="24"/>
                <w:highlight w:val="none"/>
              </w:rPr>
              <w:t>-2550</w:t>
            </w:r>
          </w:p>
        </w:tc>
        <w:tc>
          <w:tcPr>
            <w:tcW w:w="2752" w:type="dxa"/>
            <w:vAlign w:val="center"/>
          </w:tcPr>
          <w:p w14:paraId="22B08C84">
            <w:pPr>
              <w:rPr>
                <w:rFonts w:ascii="宋体" w:hAnsi="宋体" w:cs="宋体"/>
                <w:sz w:val="24"/>
                <w:szCs w:val="24"/>
                <w:highlight w:val="none"/>
              </w:rPr>
            </w:pPr>
          </w:p>
        </w:tc>
      </w:tr>
      <w:tr w14:paraId="78699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vAlign w:val="center"/>
          </w:tcPr>
          <w:p w14:paraId="201B0F69">
            <w:pPr>
              <w:tabs>
                <w:tab w:val="center" w:pos="1073"/>
              </w:tabs>
              <w:jc w:val="center"/>
              <w:rPr>
                <w:rFonts w:ascii="宋体" w:hAnsi="宋体" w:cs="宋体"/>
                <w:sz w:val="24"/>
                <w:szCs w:val="24"/>
                <w:highlight w:val="none"/>
              </w:rPr>
            </w:pPr>
            <w:r>
              <w:rPr>
                <w:rFonts w:hint="eastAsia" w:ascii="宋体" w:hAnsi="宋体" w:cs="宋体"/>
                <w:color w:val="000000"/>
                <w:sz w:val="24"/>
                <w:szCs w:val="24"/>
                <w:highlight w:val="none"/>
              </w:rPr>
              <w:t>★</w:t>
            </w:r>
            <w:r>
              <w:rPr>
                <w:rFonts w:hint="eastAsia" w:ascii="宋体" w:hAnsi="宋体" w:cs="宋体"/>
                <w:sz w:val="24"/>
                <w:szCs w:val="24"/>
                <w:highlight w:val="none"/>
              </w:rPr>
              <w:t>车高（㎜）</w:t>
            </w:r>
          </w:p>
        </w:tc>
        <w:tc>
          <w:tcPr>
            <w:tcW w:w="3221" w:type="dxa"/>
            <w:vAlign w:val="center"/>
          </w:tcPr>
          <w:p w14:paraId="6D778700">
            <w:pPr>
              <w:rPr>
                <w:rFonts w:ascii="宋体" w:hAnsi="宋体" w:cs="宋体"/>
                <w:sz w:val="24"/>
                <w:szCs w:val="24"/>
                <w:highlight w:val="none"/>
              </w:rPr>
            </w:pPr>
            <w:r>
              <w:rPr>
                <w:rFonts w:hint="eastAsia" w:ascii="宋体" w:hAnsi="宋体" w:cs="宋体"/>
                <w:sz w:val="24"/>
                <w:szCs w:val="24"/>
                <w:highlight w:val="none"/>
              </w:rPr>
              <w:t>3</w:t>
            </w:r>
            <w:r>
              <w:rPr>
                <w:rFonts w:ascii="宋体" w:hAnsi="宋体" w:cs="宋体"/>
                <w:sz w:val="24"/>
                <w:szCs w:val="24"/>
                <w:highlight w:val="none"/>
              </w:rPr>
              <w:t>550</w:t>
            </w:r>
            <w:r>
              <w:rPr>
                <w:rFonts w:hint="eastAsia" w:ascii="宋体" w:hAnsi="宋体" w:cs="宋体"/>
                <w:sz w:val="24"/>
                <w:szCs w:val="24"/>
                <w:highlight w:val="none"/>
              </w:rPr>
              <w:t>-3</w:t>
            </w:r>
            <w:r>
              <w:rPr>
                <w:rFonts w:ascii="宋体" w:hAnsi="宋体" w:cs="宋体"/>
                <w:sz w:val="24"/>
                <w:szCs w:val="24"/>
                <w:highlight w:val="none"/>
              </w:rPr>
              <w:t>690</w:t>
            </w:r>
          </w:p>
        </w:tc>
        <w:tc>
          <w:tcPr>
            <w:tcW w:w="2752" w:type="dxa"/>
            <w:vAlign w:val="center"/>
          </w:tcPr>
          <w:p w14:paraId="3851CA40">
            <w:pPr>
              <w:rPr>
                <w:rFonts w:ascii="宋体" w:hAnsi="宋体" w:cs="宋体"/>
                <w:sz w:val="24"/>
                <w:szCs w:val="24"/>
                <w:highlight w:val="none"/>
              </w:rPr>
            </w:pPr>
          </w:p>
        </w:tc>
      </w:tr>
      <w:tr w14:paraId="0C99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vAlign w:val="center"/>
          </w:tcPr>
          <w:p w14:paraId="7D8C1679">
            <w:pPr>
              <w:jc w:val="center"/>
              <w:rPr>
                <w:rFonts w:ascii="宋体" w:hAnsi="宋体" w:cs="宋体"/>
                <w:sz w:val="24"/>
                <w:szCs w:val="24"/>
                <w:highlight w:val="none"/>
              </w:rPr>
            </w:pPr>
            <w:r>
              <w:rPr>
                <w:rFonts w:hint="eastAsia" w:ascii="宋体" w:hAnsi="宋体" w:cs="宋体"/>
                <w:b/>
                <w:sz w:val="24"/>
                <w:szCs w:val="24"/>
                <w:highlight w:val="none"/>
              </w:rPr>
              <w:t>＊</w:t>
            </w:r>
            <w:r>
              <w:rPr>
                <w:rFonts w:hint="eastAsia" w:ascii="宋体" w:hAnsi="宋体" w:cs="宋体"/>
                <w:sz w:val="24"/>
                <w:szCs w:val="24"/>
                <w:highlight w:val="none"/>
              </w:rPr>
              <w:t>发动机</w:t>
            </w:r>
          </w:p>
        </w:tc>
        <w:tc>
          <w:tcPr>
            <w:tcW w:w="3221" w:type="dxa"/>
            <w:vAlign w:val="center"/>
          </w:tcPr>
          <w:p w14:paraId="26541054">
            <w:pPr>
              <w:rPr>
                <w:rFonts w:ascii="宋体" w:hAnsi="宋体" w:cs="宋体"/>
                <w:sz w:val="24"/>
                <w:szCs w:val="24"/>
                <w:highlight w:val="none"/>
              </w:rPr>
            </w:pPr>
            <w:r>
              <w:rPr>
                <w:rFonts w:hint="eastAsia" w:ascii="宋体" w:hAnsi="宋体" w:cs="宋体"/>
                <w:sz w:val="24"/>
                <w:szCs w:val="24"/>
                <w:highlight w:val="none"/>
              </w:rPr>
              <w:t xml:space="preserve">后置 </w:t>
            </w:r>
            <w:r>
              <w:rPr>
                <w:rFonts w:ascii="宋体" w:hAnsi="宋体" w:cs="宋体"/>
                <w:sz w:val="24"/>
                <w:szCs w:val="24"/>
                <w:highlight w:val="none"/>
              </w:rPr>
              <w:t>247</w:t>
            </w:r>
            <w:r>
              <w:rPr>
                <w:rFonts w:hint="eastAsia" w:ascii="宋体" w:hAnsi="宋体" w:cs="宋体"/>
                <w:sz w:val="24"/>
                <w:szCs w:val="24"/>
                <w:highlight w:val="none"/>
              </w:rPr>
              <w:t xml:space="preserve"> KW≤功率≤</w:t>
            </w:r>
            <w:r>
              <w:rPr>
                <w:rFonts w:ascii="宋体" w:hAnsi="宋体" w:cs="宋体"/>
                <w:sz w:val="24"/>
                <w:szCs w:val="24"/>
                <w:highlight w:val="none"/>
              </w:rPr>
              <w:t>257</w:t>
            </w:r>
            <w:r>
              <w:rPr>
                <w:rFonts w:hint="eastAsia" w:ascii="宋体" w:hAnsi="宋体" w:cs="宋体"/>
                <w:sz w:val="24"/>
                <w:szCs w:val="24"/>
                <w:highlight w:val="none"/>
              </w:rPr>
              <w:t>KW 柴油发动机 国六排放标准</w:t>
            </w:r>
          </w:p>
        </w:tc>
        <w:tc>
          <w:tcPr>
            <w:tcW w:w="2752" w:type="dxa"/>
            <w:vAlign w:val="center"/>
          </w:tcPr>
          <w:p w14:paraId="213263B6">
            <w:pPr>
              <w:rPr>
                <w:rFonts w:ascii="宋体" w:hAnsi="宋体" w:cs="宋体"/>
                <w:sz w:val="24"/>
                <w:szCs w:val="24"/>
                <w:highlight w:val="none"/>
              </w:rPr>
            </w:pPr>
            <w:r>
              <w:rPr>
                <w:rFonts w:ascii="宋体" w:hAnsi="宋体" w:cs="宋体"/>
                <w:sz w:val="24"/>
                <w:szCs w:val="24"/>
                <w:highlight w:val="none"/>
              </w:rPr>
              <w:t>发动机节油因素与性能考虑，区间内功率</w:t>
            </w:r>
            <w:r>
              <w:rPr>
                <w:rFonts w:hint="eastAsia" w:ascii="宋体" w:hAnsi="宋体" w:cs="宋体"/>
                <w:sz w:val="24"/>
                <w:szCs w:val="24"/>
                <w:highlight w:val="none"/>
              </w:rPr>
              <w:t>满足上限得</w:t>
            </w:r>
            <w:r>
              <w:rPr>
                <w:rFonts w:ascii="宋体" w:hAnsi="宋体" w:cs="宋体"/>
                <w:sz w:val="24"/>
                <w:szCs w:val="24"/>
                <w:highlight w:val="none"/>
              </w:rPr>
              <w:t>满分</w:t>
            </w:r>
            <w:r>
              <w:rPr>
                <w:rFonts w:hint="eastAsia" w:ascii="宋体" w:hAnsi="宋体" w:cs="宋体"/>
                <w:sz w:val="24"/>
                <w:szCs w:val="24"/>
                <w:highlight w:val="none"/>
              </w:rPr>
              <w:t>，区间内情形得1分。</w:t>
            </w:r>
          </w:p>
        </w:tc>
      </w:tr>
      <w:tr w14:paraId="3C379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vAlign w:val="center"/>
          </w:tcPr>
          <w:p w14:paraId="1C03886D">
            <w:pPr>
              <w:jc w:val="center"/>
              <w:rPr>
                <w:rFonts w:ascii="宋体" w:hAnsi="宋体" w:cs="宋体"/>
                <w:b/>
                <w:sz w:val="24"/>
                <w:szCs w:val="24"/>
                <w:highlight w:val="none"/>
              </w:rPr>
            </w:pPr>
            <w:r>
              <w:rPr>
                <w:rFonts w:hint="eastAsia" w:ascii="宋体" w:hAnsi="宋体" w:cs="宋体"/>
                <w:color w:val="000000"/>
                <w:sz w:val="24"/>
                <w:szCs w:val="24"/>
                <w:highlight w:val="none"/>
              </w:rPr>
              <w:t>★</w:t>
            </w:r>
            <w:r>
              <w:rPr>
                <w:rFonts w:hint="eastAsia" w:ascii="宋体" w:hAnsi="宋体" w:cs="宋体"/>
                <w:sz w:val="24"/>
                <w:szCs w:val="24"/>
                <w:highlight w:val="none"/>
              </w:rPr>
              <w:t>前悬后悬</w:t>
            </w:r>
          </w:p>
        </w:tc>
        <w:tc>
          <w:tcPr>
            <w:tcW w:w="3221" w:type="dxa"/>
            <w:vAlign w:val="center"/>
          </w:tcPr>
          <w:p w14:paraId="51E131B6">
            <w:pPr>
              <w:rPr>
                <w:rFonts w:ascii="宋体" w:hAnsi="宋体" w:cs="宋体"/>
                <w:sz w:val="24"/>
                <w:szCs w:val="24"/>
                <w:highlight w:val="none"/>
              </w:rPr>
            </w:pPr>
            <w:r>
              <w:rPr>
                <w:rFonts w:ascii="宋体" w:hAnsi="宋体" w:cs="宋体"/>
                <w:sz w:val="24"/>
                <w:szCs w:val="24"/>
                <w:highlight w:val="none"/>
              </w:rPr>
              <w:t>前悬</w:t>
            </w:r>
            <w:r>
              <w:rPr>
                <w:rFonts w:hint="eastAsia" w:ascii="宋体" w:hAnsi="宋体" w:cs="宋体"/>
                <w:sz w:val="24"/>
                <w:szCs w:val="24"/>
                <w:highlight w:val="none"/>
              </w:rPr>
              <w:t>≥2</w:t>
            </w:r>
            <w:r>
              <w:rPr>
                <w:rFonts w:ascii="宋体" w:hAnsi="宋体" w:cs="宋体"/>
                <w:sz w:val="24"/>
                <w:szCs w:val="24"/>
                <w:highlight w:val="none"/>
              </w:rPr>
              <w:t>400，后悬</w:t>
            </w:r>
            <w:r>
              <w:rPr>
                <w:rFonts w:hint="eastAsia" w:ascii="宋体" w:hAnsi="宋体" w:cs="宋体"/>
                <w:sz w:val="24"/>
                <w:szCs w:val="24"/>
                <w:highlight w:val="none"/>
              </w:rPr>
              <w:t>≥3</w:t>
            </w:r>
            <w:r>
              <w:rPr>
                <w:rFonts w:ascii="宋体" w:hAnsi="宋体" w:cs="宋体"/>
                <w:sz w:val="24"/>
                <w:szCs w:val="24"/>
                <w:highlight w:val="none"/>
              </w:rPr>
              <w:t>250</w:t>
            </w:r>
          </w:p>
        </w:tc>
        <w:tc>
          <w:tcPr>
            <w:tcW w:w="2752" w:type="dxa"/>
            <w:vAlign w:val="center"/>
          </w:tcPr>
          <w:p w14:paraId="0E2A38B7">
            <w:pPr>
              <w:rPr>
                <w:rFonts w:ascii="宋体" w:hAnsi="宋体" w:cs="宋体"/>
                <w:sz w:val="24"/>
                <w:szCs w:val="24"/>
                <w:highlight w:val="none"/>
              </w:rPr>
            </w:pPr>
          </w:p>
        </w:tc>
      </w:tr>
      <w:tr w14:paraId="4C36F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vAlign w:val="center"/>
          </w:tcPr>
          <w:p w14:paraId="6FE4AD2E">
            <w:pPr>
              <w:jc w:val="center"/>
              <w:rPr>
                <w:rFonts w:ascii="宋体" w:hAnsi="宋体" w:cs="宋体"/>
                <w:sz w:val="24"/>
                <w:szCs w:val="24"/>
                <w:highlight w:val="none"/>
              </w:rPr>
            </w:pPr>
            <w:r>
              <w:rPr>
                <w:rFonts w:hint="eastAsia" w:ascii="宋体" w:hAnsi="宋体" w:cs="宋体"/>
                <w:color w:val="000000"/>
                <w:sz w:val="24"/>
                <w:szCs w:val="24"/>
                <w:highlight w:val="none"/>
              </w:rPr>
              <w:t>★</w:t>
            </w:r>
            <w:r>
              <w:rPr>
                <w:rFonts w:hint="eastAsia" w:ascii="宋体" w:hAnsi="宋体" w:cs="宋体"/>
                <w:sz w:val="24"/>
                <w:szCs w:val="24"/>
                <w:highlight w:val="none"/>
              </w:rPr>
              <w:t>轴距（㎜）</w:t>
            </w:r>
          </w:p>
        </w:tc>
        <w:tc>
          <w:tcPr>
            <w:tcW w:w="3221" w:type="dxa"/>
            <w:vAlign w:val="center"/>
          </w:tcPr>
          <w:p w14:paraId="49E7DF5D">
            <w:pPr>
              <w:rPr>
                <w:rFonts w:ascii="宋体" w:hAnsi="宋体" w:cs="宋体"/>
                <w:sz w:val="24"/>
                <w:szCs w:val="24"/>
                <w:highlight w:val="none"/>
              </w:rPr>
            </w:pPr>
            <w:r>
              <w:rPr>
                <w:rFonts w:hint="eastAsia" w:ascii="宋体" w:hAnsi="宋体" w:cs="宋体"/>
                <w:sz w:val="24"/>
                <w:szCs w:val="24"/>
                <w:highlight w:val="none"/>
              </w:rPr>
              <w:t>≥6</w:t>
            </w:r>
            <w:r>
              <w:rPr>
                <w:rFonts w:ascii="宋体" w:hAnsi="宋体" w:cs="宋体"/>
                <w:sz w:val="24"/>
                <w:szCs w:val="24"/>
                <w:highlight w:val="none"/>
              </w:rPr>
              <w:t>000</w:t>
            </w:r>
          </w:p>
        </w:tc>
        <w:tc>
          <w:tcPr>
            <w:tcW w:w="2752" w:type="dxa"/>
            <w:vAlign w:val="center"/>
          </w:tcPr>
          <w:p w14:paraId="54903369">
            <w:pPr>
              <w:rPr>
                <w:rFonts w:ascii="宋体" w:hAnsi="宋体" w:cs="宋体"/>
                <w:sz w:val="24"/>
                <w:szCs w:val="24"/>
                <w:highlight w:val="none"/>
              </w:rPr>
            </w:pPr>
          </w:p>
        </w:tc>
      </w:tr>
      <w:tr w14:paraId="4C46A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vAlign w:val="center"/>
          </w:tcPr>
          <w:p w14:paraId="7294904D">
            <w:pPr>
              <w:tabs>
                <w:tab w:val="center" w:pos="1073"/>
              </w:tabs>
              <w:jc w:val="center"/>
              <w:rPr>
                <w:rFonts w:ascii="宋体" w:hAnsi="宋体" w:cs="宋体"/>
                <w:sz w:val="24"/>
                <w:szCs w:val="24"/>
                <w:highlight w:val="none"/>
              </w:rPr>
            </w:pPr>
            <w:r>
              <w:rPr>
                <w:rFonts w:hint="eastAsia" w:ascii="宋体" w:hAnsi="宋体" w:cs="宋体"/>
                <w:sz w:val="24"/>
                <w:szCs w:val="24"/>
                <w:highlight w:val="none"/>
              </w:rPr>
              <w:t>ABS</w:t>
            </w:r>
          </w:p>
        </w:tc>
        <w:tc>
          <w:tcPr>
            <w:tcW w:w="3221" w:type="dxa"/>
            <w:vAlign w:val="center"/>
          </w:tcPr>
          <w:p w14:paraId="609B0D7B">
            <w:pPr>
              <w:rPr>
                <w:rFonts w:ascii="宋体" w:hAnsi="宋体" w:cs="宋体"/>
                <w:sz w:val="24"/>
                <w:szCs w:val="24"/>
                <w:highlight w:val="none"/>
              </w:rPr>
            </w:pPr>
            <w:r>
              <w:rPr>
                <w:rFonts w:hint="eastAsia" w:ascii="宋体" w:hAnsi="宋体" w:cs="宋体"/>
                <w:sz w:val="24"/>
                <w:szCs w:val="24"/>
                <w:highlight w:val="none"/>
              </w:rPr>
              <w:t>具有AEBS功能</w:t>
            </w:r>
          </w:p>
        </w:tc>
        <w:tc>
          <w:tcPr>
            <w:tcW w:w="2752" w:type="dxa"/>
            <w:vAlign w:val="center"/>
          </w:tcPr>
          <w:p w14:paraId="6E9D6C8F">
            <w:pPr>
              <w:rPr>
                <w:rFonts w:ascii="宋体" w:hAnsi="宋体" w:cs="宋体"/>
                <w:sz w:val="24"/>
                <w:szCs w:val="24"/>
                <w:highlight w:val="none"/>
              </w:rPr>
            </w:pPr>
          </w:p>
        </w:tc>
      </w:tr>
      <w:tr w14:paraId="7919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vAlign w:val="center"/>
          </w:tcPr>
          <w:p w14:paraId="29272A94">
            <w:pPr>
              <w:jc w:val="center"/>
              <w:rPr>
                <w:rFonts w:ascii="宋体" w:hAnsi="宋体" w:cs="宋体"/>
                <w:sz w:val="24"/>
                <w:szCs w:val="24"/>
                <w:highlight w:val="none"/>
              </w:rPr>
            </w:pPr>
            <w:r>
              <w:rPr>
                <w:rFonts w:hint="eastAsia" w:ascii="宋体" w:hAnsi="宋体" w:cs="宋体"/>
                <w:sz w:val="24"/>
                <w:szCs w:val="24"/>
                <w:highlight w:val="none"/>
              </w:rPr>
              <w:t>悬架系统</w:t>
            </w:r>
          </w:p>
        </w:tc>
        <w:tc>
          <w:tcPr>
            <w:tcW w:w="3221" w:type="dxa"/>
            <w:vAlign w:val="center"/>
          </w:tcPr>
          <w:p w14:paraId="543DA31B">
            <w:pPr>
              <w:rPr>
                <w:rFonts w:ascii="宋体" w:hAnsi="宋体" w:cs="宋体"/>
                <w:sz w:val="24"/>
                <w:szCs w:val="24"/>
                <w:highlight w:val="none"/>
              </w:rPr>
            </w:pPr>
            <w:r>
              <w:rPr>
                <w:rFonts w:hint="eastAsia" w:ascii="宋体" w:hAnsi="宋体" w:cs="宋体"/>
                <w:sz w:val="24"/>
                <w:szCs w:val="24"/>
                <w:highlight w:val="none"/>
              </w:rPr>
              <w:t>前2后4空气悬架</w:t>
            </w:r>
          </w:p>
        </w:tc>
        <w:tc>
          <w:tcPr>
            <w:tcW w:w="2752" w:type="dxa"/>
            <w:vAlign w:val="center"/>
          </w:tcPr>
          <w:p w14:paraId="1C481F98">
            <w:pPr>
              <w:rPr>
                <w:rFonts w:ascii="宋体" w:hAnsi="宋体" w:cs="宋体"/>
                <w:sz w:val="24"/>
                <w:szCs w:val="24"/>
                <w:highlight w:val="none"/>
              </w:rPr>
            </w:pPr>
          </w:p>
        </w:tc>
      </w:tr>
      <w:tr w14:paraId="01BD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vAlign w:val="center"/>
          </w:tcPr>
          <w:p w14:paraId="5BA26537">
            <w:pPr>
              <w:jc w:val="center"/>
              <w:rPr>
                <w:rFonts w:ascii="宋体" w:hAnsi="宋体" w:cs="宋体"/>
                <w:sz w:val="24"/>
                <w:szCs w:val="24"/>
                <w:highlight w:val="none"/>
              </w:rPr>
            </w:pPr>
            <w:r>
              <w:rPr>
                <w:rFonts w:hint="eastAsia" w:ascii="宋体" w:hAnsi="宋体" w:cs="宋体"/>
                <w:sz w:val="24"/>
                <w:szCs w:val="24"/>
                <w:highlight w:val="none"/>
              </w:rPr>
              <w:t>外后视镜</w:t>
            </w:r>
          </w:p>
        </w:tc>
        <w:tc>
          <w:tcPr>
            <w:tcW w:w="3221" w:type="dxa"/>
            <w:vAlign w:val="center"/>
          </w:tcPr>
          <w:p w14:paraId="5DD56F32">
            <w:pPr>
              <w:rPr>
                <w:rFonts w:ascii="宋体" w:hAnsi="宋体" w:cs="宋体"/>
                <w:sz w:val="24"/>
                <w:szCs w:val="24"/>
                <w:highlight w:val="none"/>
              </w:rPr>
            </w:pPr>
            <w:r>
              <w:rPr>
                <w:rFonts w:hint="eastAsia" w:ascii="宋体" w:hAnsi="宋体" w:cs="宋体"/>
                <w:sz w:val="24"/>
                <w:szCs w:val="24"/>
                <w:highlight w:val="none"/>
              </w:rPr>
              <w:t>电动兔耳后视镜，带电加热除霜</w:t>
            </w:r>
          </w:p>
        </w:tc>
        <w:tc>
          <w:tcPr>
            <w:tcW w:w="2752" w:type="dxa"/>
            <w:vAlign w:val="center"/>
          </w:tcPr>
          <w:p w14:paraId="24E1DAFF">
            <w:pPr>
              <w:rPr>
                <w:rFonts w:ascii="宋体" w:hAnsi="宋体" w:cs="宋体"/>
                <w:sz w:val="24"/>
                <w:szCs w:val="24"/>
                <w:highlight w:val="none"/>
              </w:rPr>
            </w:pPr>
          </w:p>
        </w:tc>
      </w:tr>
      <w:tr w14:paraId="2A840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vAlign w:val="center"/>
          </w:tcPr>
          <w:p w14:paraId="1E097D10">
            <w:pPr>
              <w:jc w:val="center"/>
              <w:rPr>
                <w:rFonts w:ascii="宋体" w:hAnsi="宋体" w:cs="宋体"/>
                <w:sz w:val="24"/>
                <w:szCs w:val="24"/>
                <w:highlight w:val="none"/>
              </w:rPr>
            </w:pPr>
            <w:r>
              <w:rPr>
                <w:rFonts w:hint="eastAsia" w:ascii="宋体" w:hAnsi="宋体" w:cs="宋体"/>
                <w:sz w:val="24"/>
                <w:szCs w:val="24"/>
                <w:highlight w:val="none"/>
              </w:rPr>
              <w:t>顶风窗</w:t>
            </w:r>
          </w:p>
        </w:tc>
        <w:tc>
          <w:tcPr>
            <w:tcW w:w="3221" w:type="dxa"/>
            <w:vAlign w:val="center"/>
          </w:tcPr>
          <w:p w14:paraId="15DBD834">
            <w:pPr>
              <w:rPr>
                <w:rFonts w:ascii="宋体" w:hAns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个 带换气扇顶风窗</w:t>
            </w:r>
          </w:p>
        </w:tc>
        <w:tc>
          <w:tcPr>
            <w:tcW w:w="2752" w:type="dxa"/>
            <w:vAlign w:val="center"/>
          </w:tcPr>
          <w:p w14:paraId="092F7798">
            <w:pPr>
              <w:rPr>
                <w:rFonts w:ascii="宋体" w:hAnsi="宋体" w:cs="宋体"/>
                <w:sz w:val="24"/>
                <w:szCs w:val="24"/>
                <w:highlight w:val="none"/>
              </w:rPr>
            </w:pPr>
          </w:p>
        </w:tc>
      </w:tr>
      <w:tr w14:paraId="00CF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vAlign w:val="center"/>
          </w:tcPr>
          <w:p w14:paraId="30530FA6">
            <w:pPr>
              <w:jc w:val="center"/>
              <w:rPr>
                <w:rFonts w:ascii="宋体" w:hAnsi="宋体" w:cs="宋体"/>
                <w:sz w:val="24"/>
                <w:szCs w:val="24"/>
                <w:highlight w:val="none"/>
              </w:rPr>
            </w:pPr>
            <w:r>
              <w:rPr>
                <w:rFonts w:hint="eastAsia" w:ascii="宋体" w:hAnsi="宋体" w:cs="宋体"/>
                <w:sz w:val="24"/>
                <w:szCs w:val="24"/>
                <w:highlight w:val="none"/>
              </w:rPr>
              <w:t>变速箱</w:t>
            </w:r>
          </w:p>
        </w:tc>
        <w:tc>
          <w:tcPr>
            <w:tcW w:w="3221" w:type="dxa"/>
            <w:vAlign w:val="center"/>
          </w:tcPr>
          <w:p w14:paraId="331BE99B">
            <w:pPr>
              <w:rPr>
                <w:rFonts w:ascii="宋体" w:hAnsi="宋体" w:cs="宋体"/>
                <w:sz w:val="24"/>
                <w:szCs w:val="24"/>
                <w:highlight w:val="none"/>
              </w:rPr>
            </w:pPr>
            <w:r>
              <w:rPr>
                <w:rFonts w:hint="eastAsia" w:ascii="宋体" w:hAnsi="宋体" w:cs="宋体"/>
                <w:sz w:val="24"/>
                <w:szCs w:val="24"/>
                <w:highlight w:val="none"/>
              </w:rPr>
              <w:t>六档手动变速器</w:t>
            </w:r>
          </w:p>
        </w:tc>
        <w:tc>
          <w:tcPr>
            <w:tcW w:w="2752" w:type="dxa"/>
            <w:vAlign w:val="center"/>
          </w:tcPr>
          <w:p w14:paraId="42061850">
            <w:pPr>
              <w:rPr>
                <w:rFonts w:ascii="宋体" w:hAnsi="宋体" w:cs="宋体"/>
                <w:sz w:val="24"/>
                <w:szCs w:val="24"/>
                <w:highlight w:val="none"/>
              </w:rPr>
            </w:pPr>
            <w:r>
              <w:rPr>
                <w:rFonts w:hint="eastAsia" w:ascii="宋体" w:hAnsi="宋体" w:cs="宋体"/>
                <w:sz w:val="24"/>
                <w:szCs w:val="24"/>
                <w:highlight w:val="none"/>
              </w:rPr>
              <w:t>性能相当于或优于法士特</w:t>
            </w:r>
          </w:p>
        </w:tc>
      </w:tr>
      <w:tr w14:paraId="5E11F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vAlign w:val="center"/>
          </w:tcPr>
          <w:p w14:paraId="666B32CB">
            <w:pPr>
              <w:jc w:val="center"/>
              <w:rPr>
                <w:rFonts w:ascii="宋体" w:hAnsi="宋体" w:cs="宋体"/>
                <w:sz w:val="24"/>
                <w:szCs w:val="24"/>
                <w:highlight w:val="none"/>
              </w:rPr>
            </w:pPr>
            <w:r>
              <w:rPr>
                <w:rFonts w:hint="eastAsia" w:ascii="宋体" w:hAnsi="宋体" w:cs="宋体"/>
                <w:sz w:val="24"/>
                <w:szCs w:val="24"/>
                <w:highlight w:val="none"/>
              </w:rPr>
              <w:t>车桥</w:t>
            </w:r>
          </w:p>
        </w:tc>
        <w:tc>
          <w:tcPr>
            <w:tcW w:w="3221" w:type="dxa"/>
            <w:vAlign w:val="center"/>
          </w:tcPr>
          <w:p w14:paraId="4F0B349E">
            <w:pPr>
              <w:rPr>
                <w:rFonts w:ascii="宋体" w:hAnsi="宋体" w:cs="宋体"/>
                <w:sz w:val="24"/>
                <w:szCs w:val="24"/>
                <w:highlight w:val="none"/>
              </w:rPr>
            </w:pPr>
            <w:r>
              <w:rPr>
                <w:rFonts w:hint="eastAsia" w:ascii="宋体" w:hAnsi="宋体" w:cs="宋体"/>
                <w:sz w:val="24"/>
                <w:szCs w:val="24"/>
                <w:highlight w:val="none"/>
              </w:rPr>
              <w:t>前桥≥</w:t>
            </w:r>
            <w:r>
              <w:rPr>
                <w:rFonts w:ascii="宋体" w:hAnsi="宋体" w:cs="宋体"/>
                <w:sz w:val="24"/>
                <w:szCs w:val="24"/>
                <w:highlight w:val="none"/>
              </w:rPr>
              <w:t>5.5</w:t>
            </w:r>
            <w:r>
              <w:rPr>
                <w:rFonts w:hint="eastAsia" w:ascii="宋体" w:hAnsi="宋体" w:cs="宋体"/>
                <w:sz w:val="24"/>
                <w:szCs w:val="24"/>
                <w:highlight w:val="none"/>
              </w:rPr>
              <w:t>T 后桥≥</w:t>
            </w:r>
            <w:r>
              <w:rPr>
                <w:rFonts w:ascii="宋体" w:hAnsi="宋体" w:cs="宋体"/>
                <w:sz w:val="24"/>
                <w:szCs w:val="24"/>
                <w:highlight w:val="none"/>
              </w:rPr>
              <w:t>11.5</w:t>
            </w:r>
            <w:r>
              <w:rPr>
                <w:rFonts w:hint="eastAsia" w:ascii="宋体" w:hAnsi="宋体" w:cs="宋体"/>
                <w:sz w:val="24"/>
                <w:szCs w:val="24"/>
                <w:highlight w:val="none"/>
              </w:rPr>
              <w:t>T，前后桥一体化轴承单元。</w:t>
            </w:r>
          </w:p>
        </w:tc>
        <w:tc>
          <w:tcPr>
            <w:tcW w:w="2752" w:type="dxa"/>
            <w:vAlign w:val="center"/>
          </w:tcPr>
          <w:p w14:paraId="0E6B649D">
            <w:pPr>
              <w:rPr>
                <w:rFonts w:ascii="宋体" w:hAnsi="宋体" w:cs="宋体"/>
                <w:sz w:val="24"/>
                <w:szCs w:val="24"/>
                <w:highlight w:val="none"/>
              </w:rPr>
            </w:pPr>
          </w:p>
        </w:tc>
      </w:tr>
      <w:tr w14:paraId="5904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vAlign w:val="center"/>
          </w:tcPr>
          <w:p w14:paraId="1E17714A">
            <w:pPr>
              <w:jc w:val="center"/>
              <w:rPr>
                <w:rFonts w:ascii="宋体" w:hAnsi="宋体" w:cs="宋体"/>
                <w:sz w:val="24"/>
                <w:szCs w:val="24"/>
                <w:highlight w:val="none"/>
              </w:rPr>
            </w:pPr>
            <w:r>
              <w:rPr>
                <w:rFonts w:hint="eastAsia" w:ascii="宋体" w:hAnsi="宋体" w:cs="宋体"/>
                <w:sz w:val="24"/>
                <w:szCs w:val="24"/>
                <w:highlight w:val="none"/>
              </w:rPr>
              <w:t>行车制动</w:t>
            </w:r>
          </w:p>
        </w:tc>
        <w:tc>
          <w:tcPr>
            <w:tcW w:w="3221" w:type="dxa"/>
            <w:vAlign w:val="center"/>
          </w:tcPr>
          <w:p w14:paraId="56FFCBA0">
            <w:pPr>
              <w:rPr>
                <w:rFonts w:ascii="宋体" w:hAnsi="宋体" w:cs="宋体"/>
                <w:sz w:val="24"/>
                <w:szCs w:val="24"/>
                <w:highlight w:val="none"/>
              </w:rPr>
            </w:pPr>
            <w:r>
              <w:rPr>
                <w:rFonts w:hint="eastAsia" w:ascii="宋体" w:hAnsi="宋体" w:cs="宋体"/>
                <w:sz w:val="24"/>
                <w:szCs w:val="24"/>
                <w:highlight w:val="none"/>
              </w:rPr>
              <w:t>前盘后鼓</w:t>
            </w:r>
          </w:p>
        </w:tc>
        <w:tc>
          <w:tcPr>
            <w:tcW w:w="2752" w:type="dxa"/>
            <w:vAlign w:val="center"/>
          </w:tcPr>
          <w:p w14:paraId="00B55B94">
            <w:pPr>
              <w:rPr>
                <w:rFonts w:ascii="宋体" w:hAnsi="宋体" w:cs="宋体"/>
                <w:sz w:val="24"/>
                <w:szCs w:val="24"/>
                <w:highlight w:val="none"/>
              </w:rPr>
            </w:pPr>
          </w:p>
        </w:tc>
      </w:tr>
      <w:tr w14:paraId="7D20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vAlign w:val="center"/>
          </w:tcPr>
          <w:p w14:paraId="46BDA610">
            <w:pPr>
              <w:jc w:val="center"/>
              <w:rPr>
                <w:rFonts w:ascii="宋体" w:hAnsi="宋体" w:cs="宋体"/>
                <w:sz w:val="24"/>
                <w:szCs w:val="24"/>
                <w:highlight w:val="none"/>
              </w:rPr>
            </w:pPr>
            <w:r>
              <w:rPr>
                <w:rFonts w:hint="eastAsia" w:ascii="宋体" w:hAnsi="宋体" w:cs="宋体"/>
                <w:sz w:val="24"/>
                <w:szCs w:val="24"/>
                <w:highlight w:val="none"/>
              </w:rPr>
              <w:t>车身保温系统</w:t>
            </w:r>
          </w:p>
        </w:tc>
        <w:tc>
          <w:tcPr>
            <w:tcW w:w="3221" w:type="dxa"/>
            <w:vAlign w:val="center"/>
          </w:tcPr>
          <w:p w14:paraId="5F72C472">
            <w:pPr>
              <w:rPr>
                <w:rFonts w:ascii="宋体" w:hAnsi="宋体" w:cs="宋体"/>
                <w:sz w:val="24"/>
                <w:szCs w:val="24"/>
                <w:highlight w:val="none"/>
              </w:rPr>
            </w:pPr>
            <w:r>
              <w:rPr>
                <w:rFonts w:hint="eastAsia" w:ascii="宋体" w:hAnsi="宋体" w:cs="宋体"/>
                <w:sz w:val="24"/>
                <w:szCs w:val="24"/>
                <w:highlight w:val="none"/>
              </w:rPr>
              <w:t>除霜器+独立六壁挂强制暖风系统</w:t>
            </w:r>
          </w:p>
        </w:tc>
        <w:tc>
          <w:tcPr>
            <w:tcW w:w="2752" w:type="dxa"/>
            <w:vAlign w:val="center"/>
          </w:tcPr>
          <w:p w14:paraId="52A38B83">
            <w:pPr>
              <w:rPr>
                <w:rFonts w:ascii="宋体" w:hAnsi="宋体" w:cs="宋体"/>
                <w:sz w:val="24"/>
                <w:szCs w:val="24"/>
                <w:highlight w:val="none"/>
              </w:rPr>
            </w:pPr>
          </w:p>
        </w:tc>
      </w:tr>
      <w:tr w14:paraId="55E1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vAlign w:val="center"/>
          </w:tcPr>
          <w:p w14:paraId="22E974C4">
            <w:pPr>
              <w:jc w:val="center"/>
              <w:rPr>
                <w:rFonts w:ascii="宋体" w:hAnsi="宋体" w:cs="宋体"/>
                <w:sz w:val="24"/>
                <w:szCs w:val="24"/>
                <w:highlight w:val="none"/>
              </w:rPr>
            </w:pPr>
            <w:r>
              <w:rPr>
                <w:rFonts w:hint="eastAsia" w:ascii="宋体" w:hAnsi="宋体" w:cs="宋体"/>
                <w:sz w:val="24"/>
                <w:szCs w:val="24"/>
                <w:highlight w:val="none"/>
              </w:rPr>
              <w:t>整车玻璃</w:t>
            </w:r>
          </w:p>
        </w:tc>
        <w:tc>
          <w:tcPr>
            <w:tcW w:w="3221" w:type="dxa"/>
            <w:vAlign w:val="center"/>
          </w:tcPr>
          <w:p w14:paraId="340BF1F4">
            <w:pPr>
              <w:rPr>
                <w:rFonts w:ascii="宋体" w:hAnsi="宋体" w:cs="宋体"/>
                <w:sz w:val="24"/>
                <w:szCs w:val="24"/>
                <w:highlight w:val="none"/>
              </w:rPr>
            </w:pPr>
            <w:r>
              <w:rPr>
                <w:rFonts w:hint="eastAsia" w:ascii="宋体" w:hAnsi="宋体" w:cs="宋体"/>
                <w:sz w:val="24"/>
                <w:szCs w:val="24"/>
                <w:highlight w:val="none"/>
              </w:rPr>
              <w:t>全车钢化玻璃</w:t>
            </w:r>
          </w:p>
        </w:tc>
        <w:tc>
          <w:tcPr>
            <w:tcW w:w="2752" w:type="dxa"/>
            <w:vAlign w:val="center"/>
          </w:tcPr>
          <w:p w14:paraId="1B74F836">
            <w:pPr>
              <w:rPr>
                <w:rFonts w:ascii="宋体" w:hAnsi="宋体" w:cs="宋体"/>
                <w:sz w:val="24"/>
                <w:szCs w:val="24"/>
                <w:highlight w:val="none"/>
              </w:rPr>
            </w:pPr>
            <w:r>
              <w:rPr>
                <w:rFonts w:hint="eastAsia" w:ascii="宋体" w:hAnsi="宋体" w:cs="宋体"/>
                <w:sz w:val="24"/>
                <w:szCs w:val="24"/>
                <w:highlight w:val="none"/>
              </w:rPr>
              <w:t>带全车窗帘</w:t>
            </w:r>
          </w:p>
        </w:tc>
      </w:tr>
      <w:tr w14:paraId="0D95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vAlign w:val="center"/>
          </w:tcPr>
          <w:p w14:paraId="61E003E8">
            <w:pPr>
              <w:jc w:val="center"/>
              <w:rPr>
                <w:rFonts w:ascii="宋体" w:hAnsi="宋体" w:cs="宋体"/>
                <w:sz w:val="24"/>
                <w:szCs w:val="24"/>
                <w:highlight w:val="none"/>
              </w:rPr>
            </w:pPr>
            <w:r>
              <w:rPr>
                <w:rFonts w:hint="eastAsia" w:ascii="宋体" w:hAnsi="宋体" w:cs="宋体"/>
                <w:sz w:val="24"/>
                <w:szCs w:val="24"/>
                <w:highlight w:val="none"/>
              </w:rPr>
              <w:t>座椅包</w:t>
            </w:r>
          </w:p>
        </w:tc>
        <w:tc>
          <w:tcPr>
            <w:tcW w:w="3221" w:type="dxa"/>
            <w:vAlign w:val="center"/>
          </w:tcPr>
          <w:p w14:paraId="5504DF5B">
            <w:pPr>
              <w:rPr>
                <w:rFonts w:ascii="宋体" w:hAnsi="宋体" w:cs="宋体"/>
                <w:sz w:val="24"/>
                <w:szCs w:val="24"/>
                <w:highlight w:val="none"/>
              </w:rPr>
            </w:pPr>
            <w:r>
              <w:rPr>
                <w:rFonts w:hint="eastAsia" w:ascii="宋体" w:hAnsi="宋体" w:cs="宋体"/>
                <w:sz w:val="24"/>
                <w:szCs w:val="24"/>
                <w:highlight w:val="none"/>
              </w:rPr>
              <w:t>靠背可调,可横移, PVC皮革座椅</w:t>
            </w:r>
          </w:p>
        </w:tc>
        <w:tc>
          <w:tcPr>
            <w:tcW w:w="2752" w:type="dxa"/>
            <w:vAlign w:val="center"/>
          </w:tcPr>
          <w:p w14:paraId="02A94471">
            <w:pPr>
              <w:rPr>
                <w:rFonts w:ascii="宋体" w:hAnsi="宋体" w:cs="宋体"/>
                <w:sz w:val="24"/>
                <w:szCs w:val="24"/>
                <w:highlight w:val="none"/>
              </w:rPr>
            </w:pPr>
          </w:p>
        </w:tc>
      </w:tr>
      <w:tr w14:paraId="557A1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vAlign w:val="center"/>
          </w:tcPr>
          <w:p w14:paraId="47891E7D">
            <w:pPr>
              <w:jc w:val="center"/>
              <w:rPr>
                <w:rFonts w:ascii="宋体" w:hAnsi="宋体" w:cs="宋体"/>
                <w:sz w:val="24"/>
                <w:szCs w:val="24"/>
                <w:highlight w:val="none"/>
              </w:rPr>
            </w:pPr>
            <w:r>
              <w:rPr>
                <w:rFonts w:hint="eastAsia" w:ascii="宋体" w:hAnsi="宋体" w:cs="宋体"/>
                <w:sz w:val="24"/>
                <w:szCs w:val="24"/>
                <w:highlight w:val="none"/>
              </w:rPr>
              <w:t>制动系统</w:t>
            </w:r>
          </w:p>
        </w:tc>
        <w:tc>
          <w:tcPr>
            <w:tcW w:w="3221" w:type="dxa"/>
            <w:vAlign w:val="center"/>
          </w:tcPr>
          <w:p w14:paraId="61ACEAAD">
            <w:pPr>
              <w:rPr>
                <w:rFonts w:ascii="宋体" w:hAnsi="宋体" w:cs="宋体"/>
                <w:sz w:val="24"/>
                <w:szCs w:val="24"/>
                <w:highlight w:val="none"/>
              </w:rPr>
            </w:pPr>
            <w:r>
              <w:rPr>
                <w:rFonts w:hint="eastAsia" w:ascii="宋体" w:hAnsi="宋体" w:cs="宋体"/>
                <w:sz w:val="24"/>
                <w:szCs w:val="24"/>
                <w:highlight w:val="none"/>
              </w:rPr>
              <w:t>气压制动</w:t>
            </w:r>
          </w:p>
        </w:tc>
        <w:tc>
          <w:tcPr>
            <w:tcW w:w="2752" w:type="dxa"/>
            <w:vAlign w:val="center"/>
          </w:tcPr>
          <w:p w14:paraId="48C6C8B9">
            <w:pPr>
              <w:rPr>
                <w:rFonts w:ascii="宋体" w:hAnsi="宋体" w:cs="宋体"/>
                <w:sz w:val="24"/>
                <w:szCs w:val="24"/>
                <w:highlight w:val="none"/>
              </w:rPr>
            </w:pPr>
          </w:p>
        </w:tc>
      </w:tr>
      <w:tr w14:paraId="5A3A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vAlign w:val="center"/>
          </w:tcPr>
          <w:p w14:paraId="063C5E75">
            <w:pPr>
              <w:jc w:val="center"/>
              <w:rPr>
                <w:rFonts w:ascii="宋体" w:hAnsi="宋体" w:cs="宋体"/>
                <w:sz w:val="24"/>
                <w:szCs w:val="24"/>
                <w:highlight w:val="none"/>
              </w:rPr>
            </w:pPr>
            <w:r>
              <w:rPr>
                <w:rFonts w:hint="eastAsia" w:ascii="宋体" w:hAnsi="宋体" w:cs="宋体"/>
                <w:sz w:val="24"/>
                <w:szCs w:val="24"/>
                <w:highlight w:val="none"/>
              </w:rPr>
              <w:t>辅助制动</w:t>
            </w:r>
          </w:p>
        </w:tc>
        <w:tc>
          <w:tcPr>
            <w:tcW w:w="3221" w:type="dxa"/>
            <w:vAlign w:val="center"/>
          </w:tcPr>
          <w:p w14:paraId="0918EF9B">
            <w:pPr>
              <w:rPr>
                <w:rFonts w:ascii="宋体" w:hAnsi="宋体" w:cs="宋体"/>
                <w:sz w:val="24"/>
                <w:szCs w:val="24"/>
                <w:highlight w:val="none"/>
              </w:rPr>
            </w:pPr>
            <w:r>
              <w:rPr>
                <w:rFonts w:hint="eastAsia" w:ascii="宋体" w:hAnsi="宋体" w:cs="宋体"/>
                <w:sz w:val="24"/>
                <w:szCs w:val="24"/>
                <w:highlight w:val="none"/>
              </w:rPr>
              <w:t>电涡流≥</w:t>
            </w:r>
            <w:r>
              <w:rPr>
                <w:rFonts w:ascii="宋体" w:hAnsi="宋体" w:cs="宋体"/>
                <w:sz w:val="24"/>
                <w:szCs w:val="24"/>
                <w:highlight w:val="none"/>
              </w:rPr>
              <w:t>19</w:t>
            </w:r>
            <w:r>
              <w:rPr>
                <w:rFonts w:hint="eastAsia" w:ascii="宋体" w:hAnsi="宋体" w:cs="宋体"/>
                <w:sz w:val="24"/>
                <w:szCs w:val="24"/>
                <w:highlight w:val="none"/>
              </w:rPr>
              <w:t>00N.M</w:t>
            </w:r>
          </w:p>
        </w:tc>
        <w:tc>
          <w:tcPr>
            <w:tcW w:w="2752" w:type="dxa"/>
            <w:vAlign w:val="center"/>
          </w:tcPr>
          <w:p w14:paraId="71E49C2A">
            <w:pPr>
              <w:rPr>
                <w:rFonts w:ascii="宋体" w:hAnsi="宋体" w:cs="宋体"/>
                <w:sz w:val="24"/>
                <w:szCs w:val="24"/>
                <w:highlight w:val="none"/>
              </w:rPr>
            </w:pPr>
          </w:p>
        </w:tc>
      </w:tr>
      <w:tr w14:paraId="7F2DD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vAlign w:val="center"/>
          </w:tcPr>
          <w:p w14:paraId="74A02F5C">
            <w:pPr>
              <w:jc w:val="center"/>
              <w:rPr>
                <w:rFonts w:ascii="宋体" w:hAnsi="宋体" w:cs="宋体"/>
                <w:sz w:val="24"/>
                <w:szCs w:val="24"/>
                <w:highlight w:val="none"/>
              </w:rPr>
            </w:pPr>
            <w:r>
              <w:rPr>
                <w:rFonts w:hint="eastAsia" w:ascii="宋体" w:hAnsi="宋体" w:cs="宋体"/>
                <w:sz w:val="24"/>
                <w:szCs w:val="24"/>
                <w:highlight w:val="none"/>
              </w:rPr>
              <w:t>发动机启动断电保护装置</w:t>
            </w:r>
          </w:p>
        </w:tc>
        <w:tc>
          <w:tcPr>
            <w:tcW w:w="3221" w:type="dxa"/>
            <w:vAlign w:val="center"/>
          </w:tcPr>
          <w:p w14:paraId="2D438D09">
            <w:pPr>
              <w:rPr>
                <w:rFonts w:ascii="宋体" w:hAnsi="宋体" w:cs="宋体"/>
                <w:sz w:val="24"/>
                <w:szCs w:val="24"/>
                <w:highlight w:val="none"/>
              </w:rPr>
            </w:pPr>
          </w:p>
        </w:tc>
        <w:tc>
          <w:tcPr>
            <w:tcW w:w="2752" w:type="dxa"/>
            <w:vAlign w:val="center"/>
          </w:tcPr>
          <w:p w14:paraId="435D5A4F">
            <w:pPr>
              <w:rPr>
                <w:rFonts w:ascii="宋体" w:hAnsi="宋体" w:cs="宋体"/>
                <w:sz w:val="24"/>
                <w:szCs w:val="24"/>
                <w:highlight w:val="none"/>
              </w:rPr>
            </w:pPr>
            <w:r>
              <w:rPr>
                <w:rFonts w:hint="eastAsia" w:ascii="宋体" w:hAnsi="宋体" w:cs="宋体"/>
                <w:sz w:val="24"/>
                <w:szCs w:val="24"/>
                <w:highlight w:val="none"/>
              </w:rPr>
              <w:t>提供相关证书</w:t>
            </w:r>
          </w:p>
        </w:tc>
      </w:tr>
      <w:tr w14:paraId="77E4F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vAlign w:val="center"/>
          </w:tcPr>
          <w:p w14:paraId="0A9E0A04">
            <w:pPr>
              <w:jc w:val="center"/>
              <w:rPr>
                <w:rFonts w:ascii="宋体" w:hAnsi="宋体" w:cs="宋体"/>
                <w:sz w:val="24"/>
                <w:szCs w:val="24"/>
                <w:highlight w:val="none"/>
              </w:rPr>
            </w:pPr>
            <w:r>
              <w:rPr>
                <w:rFonts w:hint="eastAsia" w:ascii="宋体" w:hAnsi="宋体" w:cs="宋体"/>
                <w:sz w:val="24"/>
                <w:szCs w:val="24"/>
                <w:highlight w:val="none"/>
              </w:rPr>
              <w:t>热管理</w:t>
            </w:r>
          </w:p>
        </w:tc>
        <w:tc>
          <w:tcPr>
            <w:tcW w:w="3221" w:type="dxa"/>
            <w:vAlign w:val="center"/>
          </w:tcPr>
          <w:p w14:paraId="6A0036F8">
            <w:pPr>
              <w:rPr>
                <w:rFonts w:ascii="宋体" w:hAnsi="宋体" w:cs="宋体"/>
                <w:sz w:val="24"/>
                <w:szCs w:val="24"/>
                <w:highlight w:val="none"/>
              </w:rPr>
            </w:pPr>
            <w:r>
              <w:rPr>
                <w:rFonts w:hint="eastAsia" w:ascii="宋体" w:hAnsi="宋体" w:cs="宋体"/>
                <w:sz w:val="24"/>
                <w:szCs w:val="24"/>
                <w:highlight w:val="none"/>
              </w:rPr>
              <w:t>第二代（智能控制冷却系统）</w:t>
            </w:r>
          </w:p>
        </w:tc>
        <w:tc>
          <w:tcPr>
            <w:tcW w:w="2752" w:type="dxa"/>
            <w:vAlign w:val="center"/>
          </w:tcPr>
          <w:p w14:paraId="7BF3AA5D">
            <w:pPr>
              <w:rPr>
                <w:rFonts w:ascii="宋体" w:hAnsi="宋体" w:cs="宋体"/>
                <w:sz w:val="24"/>
                <w:szCs w:val="24"/>
                <w:highlight w:val="none"/>
              </w:rPr>
            </w:pPr>
          </w:p>
        </w:tc>
      </w:tr>
      <w:tr w14:paraId="19A5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vAlign w:val="center"/>
          </w:tcPr>
          <w:p w14:paraId="6D762967">
            <w:pPr>
              <w:jc w:val="center"/>
              <w:rPr>
                <w:rFonts w:ascii="宋体" w:hAnsi="宋体" w:cs="宋体"/>
                <w:sz w:val="24"/>
                <w:szCs w:val="24"/>
                <w:highlight w:val="none"/>
              </w:rPr>
            </w:pPr>
            <w:r>
              <w:rPr>
                <w:rFonts w:hint="eastAsia" w:ascii="宋体" w:hAnsi="宋体" w:cs="宋体"/>
                <w:sz w:val="24"/>
                <w:szCs w:val="24"/>
                <w:highlight w:val="none"/>
              </w:rPr>
              <w:t>安全带</w:t>
            </w:r>
          </w:p>
        </w:tc>
        <w:tc>
          <w:tcPr>
            <w:tcW w:w="3221" w:type="dxa"/>
            <w:vAlign w:val="center"/>
          </w:tcPr>
          <w:p w14:paraId="4AF6F944">
            <w:pPr>
              <w:rPr>
                <w:rFonts w:ascii="宋体" w:hAnsi="宋体" w:cs="宋体"/>
                <w:sz w:val="24"/>
                <w:szCs w:val="24"/>
                <w:highlight w:val="none"/>
              </w:rPr>
            </w:pPr>
            <w:r>
              <w:rPr>
                <w:rFonts w:hint="eastAsia" w:ascii="宋体" w:hAnsi="宋体" w:cs="宋体"/>
                <w:sz w:val="24"/>
                <w:szCs w:val="24"/>
                <w:highlight w:val="none"/>
              </w:rPr>
              <w:t>全车三点式安全带</w:t>
            </w:r>
          </w:p>
        </w:tc>
        <w:tc>
          <w:tcPr>
            <w:tcW w:w="2752" w:type="dxa"/>
            <w:vAlign w:val="center"/>
          </w:tcPr>
          <w:p w14:paraId="54FF774B">
            <w:pPr>
              <w:rPr>
                <w:rFonts w:ascii="宋体" w:hAnsi="宋体" w:cs="宋体"/>
                <w:sz w:val="24"/>
                <w:szCs w:val="24"/>
                <w:highlight w:val="none"/>
              </w:rPr>
            </w:pPr>
          </w:p>
        </w:tc>
      </w:tr>
      <w:tr w14:paraId="769E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vAlign w:val="center"/>
          </w:tcPr>
          <w:p w14:paraId="2E4498D9">
            <w:pPr>
              <w:jc w:val="center"/>
              <w:rPr>
                <w:rFonts w:ascii="宋体" w:hAnsi="宋体" w:cs="宋体"/>
                <w:sz w:val="24"/>
                <w:szCs w:val="24"/>
                <w:highlight w:val="none"/>
              </w:rPr>
            </w:pPr>
            <w:r>
              <w:rPr>
                <w:rFonts w:hint="eastAsia" w:ascii="宋体" w:hAnsi="宋体" w:cs="宋体"/>
                <w:sz w:val="24"/>
                <w:szCs w:val="24"/>
                <w:highlight w:val="none"/>
              </w:rPr>
              <w:t>乘客门</w:t>
            </w:r>
          </w:p>
        </w:tc>
        <w:tc>
          <w:tcPr>
            <w:tcW w:w="3221" w:type="dxa"/>
            <w:vAlign w:val="center"/>
          </w:tcPr>
          <w:p w14:paraId="723C11B1">
            <w:pPr>
              <w:rPr>
                <w:rFonts w:ascii="宋体" w:hAnsi="宋体" w:cs="宋体"/>
                <w:sz w:val="24"/>
                <w:szCs w:val="24"/>
                <w:highlight w:val="none"/>
              </w:rPr>
            </w:pPr>
            <w:r>
              <w:rPr>
                <w:rFonts w:hint="eastAsia" w:ascii="宋体" w:hAnsi="宋体" w:cs="宋体"/>
                <w:sz w:val="24"/>
                <w:szCs w:val="24"/>
                <w:highlight w:val="none"/>
              </w:rPr>
              <w:t>气动外摆门</w:t>
            </w:r>
          </w:p>
        </w:tc>
        <w:tc>
          <w:tcPr>
            <w:tcW w:w="2752" w:type="dxa"/>
            <w:vAlign w:val="center"/>
          </w:tcPr>
          <w:p w14:paraId="712B48A3">
            <w:pPr>
              <w:rPr>
                <w:rFonts w:ascii="宋体" w:hAnsi="宋体" w:cs="宋体"/>
                <w:sz w:val="24"/>
                <w:szCs w:val="24"/>
                <w:highlight w:val="none"/>
              </w:rPr>
            </w:pPr>
          </w:p>
        </w:tc>
      </w:tr>
      <w:tr w14:paraId="2D411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vAlign w:val="center"/>
          </w:tcPr>
          <w:p w14:paraId="32D6D1ED">
            <w:pPr>
              <w:jc w:val="center"/>
              <w:rPr>
                <w:rFonts w:ascii="宋体" w:hAnsi="宋体" w:cs="宋体"/>
                <w:sz w:val="24"/>
                <w:szCs w:val="24"/>
                <w:highlight w:val="none"/>
              </w:rPr>
            </w:pPr>
            <w:r>
              <w:rPr>
                <w:rFonts w:hint="eastAsia" w:ascii="宋体" w:hAnsi="宋体" w:cs="宋体"/>
                <w:sz w:val="24"/>
                <w:szCs w:val="24"/>
                <w:highlight w:val="none"/>
              </w:rPr>
              <w:t>空调</w:t>
            </w:r>
          </w:p>
        </w:tc>
        <w:tc>
          <w:tcPr>
            <w:tcW w:w="3221" w:type="dxa"/>
            <w:vAlign w:val="center"/>
          </w:tcPr>
          <w:p w14:paraId="67EE8A58">
            <w:pPr>
              <w:rPr>
                <w:rFonts w:ascii="宋体" w:hAnsi="宋体" w:cs="宋体"/>
                <w:sz w:val="24"/>
                <w:szCs w:val="24"/>
                <w:highlight w:val="none"/>
              </w:rPr>
            </w:pPr>
            <w:r>
              <w:rPr>
                <w:rFonts w:hint="eastAsia" w:ascii="宋体" w:hAnsi="宋体" w:cs="宋体"/>
                <w:sz w:val="24"/>
                <w:szCs w:val="24"/>
                <w:highlight w:val="none"/>
              </w:rPr>
              <w:t>制冷 制冷量≥</w:t>
            </w:r>
            <w:r>
              <w:rPr>
                <w:rFonts w:ascii="宋体" w:hAnsi="宋体" w:cs="宋体"/>
                <w:sz w:val="24"/>
                <w:szCs w:val="24"/>
                <w:highlight w:val="none"/>
              </w:rPr>
              <w:t>32</w:t>
            </w:r>
            <w:r>
              <w:rPr>
                <w:rFonts w:hint="eastAsia" w:ascii="宋体" w:hAnsi="宋体" w:cs="宋体"/>
                <w:sz w:val="24"/>
                <w:szCs w:val="24"/>
                <w:highlight w:val="none"/>
              </w:rPr>
              <w:t>000kcal/h</w:t>
            </w:r>
          </w:p>
        </w:tc>
        <w:tc>
          <w:tcPr>
            <w:tcW w:w="2752" w:type="dxa"/>
            <w:vAlign w:val="center"/>
          </w:tcPr>
          <w:p w14:paraId="6FA2B2AB">
            <w:pPr>
              <w:rPr>
                <w:rFonts w:ascii="宋体" w:hAnsi="宋体" w:cs="宋体"/>
                <w:sz w:val="24"/>
                <w:szCs w:val="24"/>
                <w:highlight w:val="none"/>
              </w:rPr>
            </w:pPr>
          </w:p>
        </w:tc>
      </w:tr>
      <w:tr w14:paraId="5162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vAlign w:val="center"/>
          </w:tcPr>
          <w:p w14:paraId="3A40F5B9">
            <w:pPr>
              <w:jc w:val="center"/>
              <w:rPr>
                <w:rFonts w:ascii="宋体" w:hAnsi="宋体" w:cs="宋体"/>
                <w:sz w:val="24"/>
                <w:szCs w:val="24"/>
                <w:highlight w:val="none"/>
              </w:rPr>
            </w:pPr>
            <w:r>
              <w:rPr>
                <w:rFonts w:hint="eastAsia" w:ascii="宋体" w:hAnsi="宋体" w:cs="宋体"/>
                <w:sz w:val="24"/>
                <w:szCs w:val="24"/>
                <w:highlight w:val="none"/>
              </w:rPr>
              <w:t>轮胎</w:t>
            </w:r>
          </w:p>
        </w:tc>
        <w:tc>
          <w:tcPr>
            <w:tcW w:w="3221" w:type="dxa"/>
            <w:vAlign w:val="center"/>
          </w:tcPr>
          <w:p w14:paraId="734B58FF">
            <w:pPr>
              <w:rPr>
                <w:rFonts w:ascii="宋体" w:hAnsi="宋体" w:cs="宋体"/>
                <w:sz w:val="24"/>
                <w:szCs w:val="24"/>
                <w:highlight w:val="none"/>
              </w:rPr>
            </w:pPr>
            <w:r>
              <w:rPr>
                <w:rFonts w:hint="eastAsia" w:ascii="宋体" w:hAnsi="宋体" w:cs="宋体"/>
                <w:sz w:val="24"/>
                <w:szCs w:val="24"/>
                <w:highlight w:val="none"/>
              </w:rPr>
              <w:t>真空胎</w:t>
            </w:r>
          </w:p>
        </w:tc>
        <w:tc>
          <w:tcPr>
            <w:tcW w:w="2752" w:type="dxa"/>
            <w:vAlign w:val="center"/>
          </w:tcPr>
          <w:p w14:paraId="60BD72C0">
            <w:pPr>
              <w:rPr>
                <w:rFonts w:ascii="宋体" w:hAnsi="宋体" w:cs="宋体"/>
                <w:sz w:val="24"/>
                <w:szCs w:val="24"/>
                <w:highlight w:val="none"/>
              </w:rPr>
            </w:pPr>
          </w:p>
        </w:tc>
      </w:tr>
      <w:tr w14:paraId="4BE1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vAlign w:val="center"/>
          </w:tcPr>
          <w:p w14:paraId="09643B36">
            <w:pPr>
              <w:jc w:val="center"/>
              <w:rPr>
                <w:rFonts w:ascii="宋体" w:hAnsi="宋体" w:cs="宋体"/>
                <w:sz w:val="24"/>
                <w:szCs w:val="24"/>
                <w:highlight w:val="none"/>
              </w:rPr>
            </w:pPr>
            <w:r>
              <w:rPr>
                <w:rFonts w:hint="eastAsia" w:ascii="宋体" w:hAnsi="宋体" w:cs="宋体"/>
                <w:sz w:val="24"/>
                <w:szCs w:val="24"/>
                <w:highlight w:val="none"/>
              </w:rPr>
              <w:t>电子钟</w:t>
            </w:r>
          </w:p>
        </w:tc>
        <w:tc>
          <w:tcPr>
            <w:tcW w:w="3221" w:type="dxa"/>
            <w:vAlign w:val="center"/>
          </w:tcPr>
          <w:p w14:paraId="38D737B3">
            <w:pPr>
              <w:rPr>
                <w:rFonts w:ascii="宋体" w:hAnsi="宋体" w:cs="宋体"/>
                <w:sz w:val="24"/>
                <w:szCs w:val="24"/>
                <w:highlight w:val="none"/>
              </w:rPr>
            </w:pPr>
            <w:r>
              <w:rPr>
                <w:rFonts w:hint="eastAsia" w:ascii="宋体" w:hAnsi="宋体" w:cs="宋体"/>
                <w:sz w:val="24"/>
                <w:szCs w:val="24"/>
                <w:highlight w:val="none"/>
              </w:rPr>
              <w:t>电子钟</w:t>
            </w:r>
          </w:p>
        </w:tc>
        <w:tc>
          <w:tcPr>
            <w:tcW w:w="2752" w:type="dxa"/>
            <w:vAlign w:val="center"/>
          </w:tcPr>
          <w:p w14:paraId="4BB4C6A0">
            <w:pPr>
              <w:rPr>
                <w:rFonts w:ascii="宋体" w:hAnsi="宋体" w:cs="宋体"/>
                <w:sz w:val="24"/>
                <w:szCs w:val="24"/>
                <w:highlight w:val="none"/>
              </w:rPr>
            </w:pPr>
          </w:p>
        </w:tc>
      </w:tr>
      <w:tr w14:paraId="03B7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vAlign w:val="center"/>
          </w:tcPr>
          <w:p w14:paraId="1F4384BF">
            <w:pPr>
              <w:jc w:val="center"/>
              <w:rPr>
                <w:rFonts w:ascii="宋体" w:hAnsi="宋体" w:cs="宋体"/>
                <w:sz w:val="24"/>
                <w:szCs w:val="24"/>
                <w:highlight w:val="none"/>
              </w:rPr>
            </w:pPr>
            <w:r>
              <w:rPr>
                <w:rFonts w:hint="eastAsia" w:ascii="宋体" w:hAnsi="宋体" w:cs="宋体"/>
                <w:sz w:val="24"/>
                <w:szCs w:val="24"/>
                <w:highlight w:val="none"/>
              </w:rPr>
              <w:t>液晶电视</w:t>
            </w:r>
          </w:p>
        </w:tc>
        <w:tc>
          <w:tcPr>
            <w:tcW w:w="3221" w:type="dxa"/>
            <w:vAlign w:val="center"/>
          </w:tcPr>
          <w:p w14:paraId="3BCD6221">
            <w:pPr>
              <w:rPr>
                <w:rFonts w:ascii="宋体" w:hAnsi="宋体" w:cs="宋体"/>
                <w:sz w:val="24"/>
                <w:szCs w:val="24"/>
                <w:highlight w:val="none"/>
              </w:rPr>
            </w:pPr>
            <w:r>
              <w:rPr>
                <w:rFonts w:hint="eastAsia" w:ascii="宋体" w:hAnsi="宋体" w:cs="宋体"/>
                <w:sz w:val="24"/>
                <w:szCs w:val="24"/>
                <w:highlight w:val="none"/>
              </w:rPr>
              <w:t>19寸液晶电视+硬盘播放器</w:t>
            </w:r>
          </w:p>
        </w:tc>
        <w:tc>
          <w:tcPr>
            <w:tcW w:w="2752" w:type="dxa"/>
            <w:vAlign w:val="center"/>
          </w:tcPr>
          <w:p w14:paraId="4E526073">
            <w:pPr>
              <w:rPr>
                <w:rFonts w:ascii="宋体" w:hAnsi="宋体" w:cs="宋体"/>
                <w:sz w:val="24"/>
                <w:szCs w:val="24"/>
                <w:highlight w:val="none"/>
              </w:rPr>
            </w:pPr>
          </w:p>
        </w:tc>
      </w:tr>
      <w:tr w14:paraId="75A37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vAlign w:val="center"/>
          </w:tcPr>
          <w:p w14:paraId="1562F9C3">
            <w:pPr>
              <w:jc w:val="center"/>
              <w:rPr>
                <w:rFonts w:ascii="宋体" w:hAnsi="宋体" w:cs="宋体"/>
                <w:sz w:val="24"/>
                <w:szCs w:val="24"/>
                <w:highlight w:val="none"/>
              </w:rPr>
            </w:pPr>
            <w:r>
              <w:rPr>
                <w:rFonts w:hint="eastAsia" w:ascii="宋体" w:hAnsi="宋体" w:cs="宋体"/>
                <w:sz w:val="24"/>
                <w:szCs w:val="24"/>
                <w:highlight w:val="none"/>
              </w:rPr>
              <w:t>倒车影像</w:t>
            </w:r>
          </w:p>
        </w:tc>
        <w:tc>
          <w:tcPr>
            <w:tcW w:w="3221" w:type="dxa"/>
            <w:vAlign w:val="center"/>
          </w:tcPr>
          <w:p w14:paraId="03AFF386">
            <w:pPr>
              <w:rPr>
                <w:rFonts w:ascii="宋体" w:hAnsi="宋体" w:cs="宋体"/>
                <w:sz w:val="24"/>
                <w:szCs w:val="24"/>
                <w:highlight w:val="none"/>
              </w:rPr>
            </w:pPr>
            <w:r>
              <w:rPr>
                <w:rFonts w:hint="eastAsia" w:ascii="宋体" w:hAnsi="宋体" w:cs="宋体"/>
                <w:sz w:val="24"/>
                <w:szCs w:val="24"/>
                <w:highlight w:val="none"/>
              </w:rPr>
              <w:t>彩色倒车监视器</w:t>
            </w:r>
          </w:p>
        </w:tc>
        <w:tc>
          <w:tcPr>
            <w:tcW w:w="2752" w:type="dxa"/>
            <w:vAlign w:val="center"/>
          </w:tcPr>
          <w:p w14:paraId="2B16FCEC">
            <w:pPr>
              <w:rPr>
                <w:rFonts w:ascii="宋体" w:hAnsi="宋体" w:cs="宋体"/>
                <w:sz w:val="24"/>
                <w:szCs w:val="24"/>
                <w:highlight w:val="none"/>
              </w:rPr>
            </w:pPr>
          </w:p>
        </w:tc>
      </w:tr>
      <w:tr w14:paraId="5105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vAlign w:val="center"/>
          </w:tcPr>
          <w:p w14:paraId="7F4E7E77">
            <w:pPr>
              <w:jc w:val="center"/>
              <w:rPr>
                <w:rFonts w:ascii="宋体" w:hAnsi="宋体" w:cs="宋体"/>
                <w:sz w:val="24"/>
                <w:szCs w:val="24"/>
                <w:highlight w:val="none"/>
              </w:rPr>
            </w:pPr>
            <w:r>
              <w:rPr>
                <w:rFonts w:hint="eastAsia" w:ascii="宋体" w:hAnsi="宋体" w:cs="宋体"/>
                <w:sz w:val="24"/>
                <w:szCs w:val="24"/>
                <w:highlight w:val="none"/>
              </w:rPr>
              <w:t>地板革</w:t>
            </w:r>
          </w:p>
        </w:tc>
        <w:tc>
          <w:tcPr>
            <w:tcW w:w="3221" w:type="dxa"/>
            <w:vAlign w:val="center"/>
          </w:tcPr>
          <w:p w14:paraId="7E2DB334">
            <w:pPr>
              <w:rPr>
                <w:rFonts w:ascii="宋体" w:hAnsi="宋体" w:cs="宋体"/>
                <w:sz w:val="24"/>
                <w:szCs w:val="24"/>
                <w:highlight w:val="none"/>
              </w:rPr>
            </w:pPr>
            <w:r>
              <w:rPr>
                <w:rFonts w:hint="eastAsia" w:ascii="宋体" w:hAnsi="宋体" w:cs="宋体"/>
                <w:sz w:val="24"/>
                <w:szCs w:val="24"/>
                <w:highlight w:val="none"/>
              </w:rPr>
              <w:t>防滑地板革</w:t>
            </w:r>
          </w:p>
        </w:tc>
        <w:tc>
          <w:tcPr>
            <w:tcW w:w="2752" w:type="dxa"/>
            <w:vAlign w:val="center"/>
          </w:tcPr>
          <w:p w14:paraId="37A57D88">
            <w:pPr>
              <w:rPr>
                <w:rFonts w:ascii="宋体" w:hAnsi="宋体" w:cs="宋体"/>
                <w:sz w:val="24"/>
                <w:szCs w:val="24"/>
                <w:highlight w:val="none"/>
              </w:rPr>
            </w:pPr>
          </w:p>
        </w:tc>
      </w:tr>
      <w:tr w14:paraId="6CF8A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vAlign w:val="center"/>
          </w:tcPr>
          <w:p w14:paraId="25001523">
            <w:pPr>
              <w:jc w:val="center"/>
              <w:rPr>
                <w:rFonts w:ascii="宋体" w:hAnsi="宋体" w:cs="宋体"/>
                <w:sz w:val="24"/>
                <w:szCs w:val="24"/>
                <w:highlight w:val="none"/>
              </w:rPr>
            </w:pPr>
            <w:r>
              <w:rPr>
                <w:rFonts w:hint="eastAsia" w:ascii="宋体" w:hAnsi="宋体" w:cs="宋体"/>
                <w:sz w:val="24"/>
                <w:szCs w:val="24"/>
                <w:highlight w:val="none"/>
              </w:rPr>
              <w:t>车内行李架</w:t>
            </w:r>
          </w:p>
        </w:tc>
        <w:tc>
          <w:tcPr>
            <w:tcW w:w="3221" w:type="dxa"/>
            <w:vAlign w:val="center"/>
          </w:tcPr>
          <w:p w14:paraId="7264477D">
            <w:pPr>
              <w:rPr>
                <w:rFonts w:ascii="宋体" w:hAnsi="宋体" w:cs="宋体"/>
                <w:sz w:val="24"/>
                <w:szCs w:val="24"/>
                <w:highlight w:val="none"/>
              </w:rPr>
            </w:pPr>
            <w:r>
              <w:rPr>
                <w:rFonts w:hint="eastAsia" w:ascii="宋体" w:hAnsi="宋体" w:cs="宋体"/>
                <w:sz w:val="24"/>
                <w:szCs w:val="24"/>
                <w:highlight w:val="none"/>
              </w:rPr>
              <w:t>双内行李架</w:t>
            </w:r>
          </w:p>
        </w:tc>
        <w:tc>
          <w:tcPr>
            <w:tcW w:w="2752" w:type="dxa"/>
            <w:vAlign w:val="center"/>
          </w:tcPr>
          <w:p w14:paraId="1FAB8576">
            <w:pPr>
              <w:rPr>
                <w:rFonts w:ascii="宋体" w:hAnsi="宋体" w:cs="宋体"/>
                <w:sz w:val="24"/>
                <w:szCs w:val="24"/>
                <w:highlight w:val="none"/>
              </w:rPr>
            </w:pPr>
          </w:p>
        </w:tc>
      </w:tr>
      <w:tr w14:paraId="15523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vAlign w:val="center"/>
          </w:tcPr>
          <w:p w14:paraId="07B81C90">
            <w:pPr>
              <w:jc w:val="center"/>
              <w:rPr>
                <w:rFonts w:ascii="宋体" w:hAnsi="宋体" w:cs="宋体"/>
                <w:sz w:val="24"/>
                <w:szCs w:val="24"/>
                <w:highlight w:val="none"/>
              </w:rPr>
            </w:pPr>
            <w:r>
              <w:rPr>
                <w:rFonts w:hint="eastAsia" w:ascii="宋体" w:hAnsi="宋体" w:cs="宋体"/>
                <w:sz w:val="24"/>
                <w:szCs w:val="24"/>
                <w:highlight w:val="none"/>
              </w:rPr>
              <w:t>行李仓门</w:t>
            </w:r>
          </w:p>
        </w:tc>
        <w:tc>
          <w:tcPr>
            <w:tcW w:w="3221" w:type="dxa"/>
            <w:vAlign w:val="center"/>
          </w:tcPr>
          <w:p w14:paraId="0E36F70D">
            <w:pPr>
              <w:jc w:val="left"/>
              <w:rPr>
                <w:rFonts w:ascii="宋体" w:hAnsi="宋体" w:cs="宋体"/>
                <w:sz w:val="24"/>
                <w:szCs w:val="24"/>
                <w:highlight w:val="none"/>
              </w:rPr>
            </w:pPr>
            <w:r>
              <w:rPr>
                <w:rFonts w:hint="eastAsia" w:ascii="宋体" w:hAnsi="宋体" w:cs="宋体"/>
                <w:sz w:val="24"/>
                <w:szCs w:val="24"/>
                <w:highlight w:val="none"/>
              </w:rPr>
              <w:t>手动平移上仓门</w:t>
            </w:r>
          </w:p>
        </w:tc>
        <w:tc>
          <w:tcPr>
            <w:tcW w:w="2752" w:type="dxa"/>
            <w:vAlign w:val="center"/>
          </w:tcPr>
          <w:p w14:paraId="151797BE">
            <w:pPr>
              <w:rPr>
                <w:rFonts w:ascii="宋体" w:hAnsi="宋体" w:cs="宋体"/>
                <w:sz w:val="24"/>
                <w:szCs w:val="24"/>
                <w:highlight w:val="none"/>
              </w:rPr>
            </w:pPr>
          </w:p>
        </w:tc>
      </w:tr>
      <w:tr w14:paraId="23BE5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vAlign w:val="center"/>
          </w:tcPr>
          <w:p w14:paraId="356730BE">
            <w:pPr>
              <w:jc w:val="center"/>
              <w:rPr>
                <w:rFonts w:ascii="宋体" w:hAnsi="宋体" w:cs="宋体"/>
                <w:sz w:val="24"/>
                <w:szCs w:val="24"/>
                <w:highlight w:val="none"/>
              </w:rPr>
            </w:pPr>
            <w:r>
              <w:rPr>
                <w:rFonts w:hint="eastAsia" w:ascii="宋体" w:hAnsi="宋体" w:cs="宋体"/>
                <w:sz w:val="24"/>
                <w:szCs w:val="24"/>
                <w:highlight w:val="none"/>
              </w:rPr>
              <w:t>燃油预热</w:t>
            </w:r>
          </w:p>
        </w:tc>
        <w:tc>
          <w:tcPr>
            <w:tcW w:w="3221" w:type="dxa"/>
            <w:vAlign w:val="center"/>
          </w:tcPr>
          <w:p w14:paraId="2B0BFC7E">
            <w:pPr>
              <w:jc w:val="left"/>
              <w:rPr>
                <w:rFonts w:ascii="宋体" w:hAnsi="宋体" w:cs="宋体"/>
                <w:sz w:val="24"/>
                <w:szCs w:val="24"/>
                <w:highlight w:val="none"/>
              </w:rPr>
            </w:pPr>
            <w:r>
              <w:rPr>
                <w:rFonts w:hint="eastAsia" w:ascii="宋体" w:hAnsi="宋体" w:cs="宋体"/>
                <w:sz w:val="24"/>
                <w:szCs w:val="24"/>
                <w:highlight w:val="none"/>
              </w:rPr>
              <w:t>包含</w:t>
            </w:r>
          </w:p>
        </w:tc>
        <w:tc>
          <w:tcPr>
            <w:tcW w:w="2752" w:type="dxa"/>
            <w:vAlign w:val="center"/>
          </w:tcPr>
          <w:p w14:paraId="32D32309">
            <w:pPr>
              <w:rPr>
                <w:rFonts w:ascii="宋体" w:hAnsi="宋体" w:cs="宋体"/>
                <w:sz w:val="24"/>
                <w:szCs w:val="24"/>
                <w:highlight w:val="none"/>
              </w:rPr>
            </w:pPr>
          </w:p>
        </w:tc>
      </w:tr>
      <w:tr w14:paraId="357C5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vAlign w:val="center"/>
          </w:tcPr>
          <w:p w14:paraId="7F5175F5">
            <w:pPr>
              <w:jc w:val="center"/>
              <w:rPr>
                <w:rFonts w:ascii="宋体" w:hAnsi="宋体" w:cs="宋体"/>
                <w:sz w:val="24"/>
                <w:szCs w:val="24"/>
                <w:highlight w:val="none"/>
              </w:rPr>
            </w:pPr>
            <w:r>
              <w:rPr>
                <w:rFonts w:hint="eastAsia" w:ascii="宋体" w:hAnsi="宋体" w:cs="宋体"/>
                <w:sz w:val="24"/>
                <w:szCs w:val="24"/>
                <w:highlight w:val="none"/>
              </w:rPr>
              <w:t>全车座椅USB接口</w:t>
            </w:r>
          </w:p>
        </w:tc>
        <w:tc>
          <w:tcPr>
            <w:tcW w:w="3221" w:type="dxa"/>
            <w:vAlign w:val="center"/>
          </w:tcPr>
          <w:p w14:paraId="1E1D1531">
            <w:pPr>
              <w:jc w:val="left"/>
              <w:rPr>
                <w:rFonts w:ascii="宋体" w:hAnsi="宋体" w:cs="宋体"/>
                <w:sz w:val="24"/>
                <w:szCs w:val="24"/>
                <w:highlight w:val="none"/>
              </w:rPr>
            </w:pPr>
            <w:r>
              <w:rPr>
                <w:rFonts w:hint="eastAsia" w:ascii="宋体" w:hAnsi="宋体" w:cs="宋体"/>
                <w:sz w:val="24"/>
                <w:szCs w:val="24"/>
                <w:highlight w:val="none"/>
              </w:rPr>
              <w:t>全车座椅USB接口</w:t>
            </w:r>
          </w:p>
        </w:tc>
        <w:tc>
          <w:tcPr>
            <w:tcW w:w="2752" w:type="dxa"/>
            <w:vAlign w:val="center"/>
          </w:tcPr>
          <w:p w14:paraId="08C109C1">
            <w:pPr>
              <w:rPr>
                <w:rFonts w:ascii="宋体" w:hAnsi="宋体" w:cs="宋体"/>
                <w:sz w:val="24"/>
                <w:szCs w:val="24"/>
                <w:highlight w:val="none"/>
              </w:rPr>
            </w:pPr>
          </w:p>
        </w:tc>
      </w:tr>
    </w:tbl>
    <w:p w14:paraId="4FB6E35B">
      <w:pPr>
        <w:spacing w:before="120" w:beforeLines="50" w:after="120" w:afterLines="50" w:line="360" w:lineRule="auto"/>
        <w:rPr>
          <w:rFonts w:ascii="宋体" w:hAnsi="宋体" w:cs="宋体"/>
          <w:b/>
          <w:bCs/>
          <w:color w:val="000000"/>
          <w:sz w:val="24"/>
          <w:szCs w:val="32"/>
        </w:rPr>
      </w:pPr>
    </w:p>
    <w:p w14:paraId="363D0AAD">
      <w:pPr>
        <w:spacing w:before="120" w:beforeLines="50" w:after="120" w:afterLines="50" w:line="360" w:lineRule="auto"/>
        <w:rPr>
          <w:rFonts w:ascii="宋体" w:hAnsi="宋体" w:cs="宋体"/>
          <w:b/>
          <w:bCs/>
          <w:color w:val="000000"/>
          <w:sz w:val="24"/>
          <w:szCs w:val="32"/>
        </w:rPr>
      </w:pPr>
      <w:r>
        <w:rPr>
          <w:rFonts w:hint="eastAsia" w:ascii="宋体" w:hAnsi="宋体" w:cs="宋体"/>
          <w:b/>
          <w:bCs/>
          <w:color w:val="000000"/>
          <w:sz w:val="24"/>
          <w:szCs w:val="32"/>
        </w:rPr>
        <w:t>三、服务要求</w:t>
      </w:r>
    </w:p>
    <w:p w14:paraId="26E4885C">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1.提供车辆全生命周期的售后服务保障，24小时服务热线，15分钟内响应，一般故障4小时内解决，紧急救援2小时内到达服务现场。</w:t>
      </w:r>
    </w:p>
    <w:p w14:paraId="14F0A799">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2.整车质保24个月或15万公里，先到者为准。</w:t>
      </w:r>
    </w:p>
    <w:p w14:paraId="6DA798EB">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3.整车配备</w:t>
      </w:r>
      <w:r>
        <w:rPr>
          <w:rFonts w:hint="eastAsia" w:ascii="宋体" w:hAnsi="宋体" w:cs="宋体"/>
          <w:color w:val="000000"/>
          <w:sz w:val="24"/>
          <w:szCs w:val="24"/>
          <w:highlight w:val="yellow"/>
        </w:rPr>
        <w:t>前盘式后鼓式</w:t>
      </w:r>
      <w:r>
        <w:rPr>
          <w:rFonts w:hint="eastAsia" w:ascii="宋体" w:hAnsi="宋体" w:cs="宋体"/>
          <w:color w:val="000000"/>
          <w:sz w:val="24"/>
          <w:szCs w:val="24"/>
        </w:rPr>
        <w:t>制动器，车桥不低于5年或者80万公里免维护，先到者为准。</w:t>
      </w:r>
    </w:p>
    <w:p w14:paraId="7E9FCB5D">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4.国家对本次采购产品有强制性认证或生产许可等要求的，投标人所提供产品应完全满足相关规定要求，投标人应对此如实承诺并提供加盖公章的承诺函（内容格式自拟）。</w:t>
      </w:r>
    </w:p>
    <w:p w14:paraId="481A3804">
      <w:pPr>
        <w:spacing w:before="120" w:beforeLines="50" w:after="120" w:afterLines="50" w:line="360" w:lineRule="auto"/>
        <w:rPr>
          <w:rFonts w:ascii="宋体" w:hAnsi="宋体" w:cs="宋体"/>
          <w:b/>
          <w:bCs/>
          <w:color w:val="000000"/>
          <w:sz w:val="24"/>
          <w:szCs w:val="24"/>
        </w:rPr>
      </w:pPr>
      <w:r>
        <w:rPr>
          <w:rFonts w:hint="eastAsia" w:ascii="宋体" w:hAnsi="宋体" w:cs="宋体"/>
          <w:b/>
          <w:bCs/>
          <w:color w:val="000000"/>
          <w:sz w:val="24"/>
          <w:szCs w:val="24"/>
        </w:rPr>
        <w:t>四、交货时间及地点</w:t>
      </w:r>
    </w:p>
    <w:p w14:paraId="1E1FB210">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1.交货时间：合同签订后 </w:t>
      </w:r>
      <w:r>
        <w:rPr>
          <w:rFonts w:hint="eastAsia" w:ascii="宋体" w:hAnsi="宋体" w:cs="宋体"/>
          <w:color w:val="000000"/>
          <w:sz w:val="24"/>
          <w:szCs w:val="24"/>
          <w:lang w:val="en-US" w:eastAsia="zh-CN"/>
        </w:rPr>
        <w:t>2个</w:t>
      </w:r>
      <w:r>
        <w:rPr>
          <w:rFonts w:hint="eastAsia" w:ascii="宋体" w:hAnsi="宋体" w:cs="宋体"/>
          <w:color w:val="000000"/>
          <w:sz w:val="24"/>
          <w:szCs w:val="24"/>
        </w:rPr>
        <w:t>月交货。</w:t>
      </w:r>
    </w:p>
    <w:p w14:paraId="722E60AF">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2.交货地点：采购人指定地点。</w:t>
      </w:r>
    </w:p>
    <w:p w14:paraId="5349A9E4">
      <w:pPr>
        <w:spacing w:before="120" w:beforeLines="50" w:after="120" w:afterLines="50" w:line="360" w:lineRule="auto"/>
        <w:rPr>
          <w:rFonts w:ascii="宋体" w:hAnsi="宋体" w:cs="宋体"/>
          <w:b/>
          <w:bCs/>
          <w:color w:val="000000"/>
          <w:sz w:val="24"/>
          <w:szCs w:val="24"/>
        </w:rPr>
      </w:pPr>
      <w:r>
        <w:rPr>
          <w:rFonts w:hint="eastAsia" w:ascii="宋体" w:hAnsi="宋体" w:cs="宋体"/>
          <w:b/>
          <w:bCs/>
          <w:color w:val="000000"/>
          <w:sz w:val="24"/>
          <w:szCs w:val="24"/>
        </w:rPr>
        <w:t>五、验收标准</w:t>
      </w:r>
    </w:p>
    <w:p w14:paraId="4C077A73">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车辆须满足国家相关管理部门的规范、标准及验收要求，且能保证采购人正常使用。验收以中标供应商的投标响应文件及招标文件的要求作为验收标准及依据。采购人对履约情况进行确认并出具总体评价。</w:t>
      </w:r>
    </w:p>
    <w:p w14:paraId="55F179D3">
      <w:pPr>
        <w:spacing w:before="120" w:beforeLines="50" w:after="120" w:afterLines="50" w:line="360" w:lineRule="auto"/>
        <w:rPr>
          <w:rFonts w:ascii="宋体" w:hAnsi="宋体" w:cs="宋体"/>
          <w:b/>
          <w:bCs/>
          <w:color w:val="000000"/>
          <w:sz w:val="24"/>
          <w:szCs w:val="24"/>
        </w:rPr>
      </w:pPr>
      <w:r>
        <w:rPr>
          <w:rFonts w:hint="eastAsia" w:ascii="宋体" w:hAnsi="宋体" w:cs="宋体"/>
          <w:b/>
          <w:bCs/>
          <w:color w:val="000000"/>
          <w:sz w:val="24"/>
          <w:szCs w:val="24"/>
        </w:rPr>
        <w:t>五、其他说明</w:t>
      </w:r>
    </w:p>
    <w:p w14:paraId="2BDB6AA5">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本章所有商务、技术要求如未要求提供相关证明材料，则只须在投标文件技术规格偏离表及商务规格偏离表中列明是否偏离。实质性条款（如有）必须无偏离或正偏离，未写明是否偏离或响应为负偏离，将导致其投标被拒绝。</w:t>
      </w:r>
    </w:p>
    <w:p w14:paraId="1B97115D">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2．带“★”章节或条款为实质性指标（如有），不允许负偏离，如有负偏离，视为非实质性响应招标文件，其投标将被拒绝。</w:t>
      </w:r>
    </w:p>
    <w:p w14:paraId="0D81D2F6">
      <w:pPr>
        <w:spacing w:line="360" w:lineRule="auto"/>
        <w:ind w:firstLine="480" w:firstLineChars="200"/>
        <w:rPr>
          <w:rFonts w:ascii="宋体" w:hAnsi="宋体" w:cs="宋体"/>
          <w:b/>
          <w:bCs/>
          <w:color w:val="000000"/>
          <w:sz w:val="24"/>
          <w:szCs w:val="24"/>
        </w:rPr>
      </w:pPr>
      <w:r>
        <w:rPr>
          <w:rFonts w:hint="eastAsia" w:ascii="宋体" w:hAnsi="宋体" w:cs="宋体"/>
          <w:color w:val="000000"/>
          <w:sz w:val="24"/>
          <w:szCs w:val="24"/>
        </w:rPr>
        <w:t>3．★本项目合同条款中的付款方式为实质性条款。</w:t>
      </w:r>
      <w:r>
        <w:rPr>
          <w:rFonts w:hint="eastAsia" w:ascii="宋体" w:hAnsi="宋体" w:cs="宋体"/>
          <w:b/>
          <w:bCs/>
          <w:color w:val="000000"/>
          <w:sz w:val="21"/>
          <w:szCs w:val="21"/>
        </w:rPr>
        <w:t>（须在商务条款偏离表中单独响应，未按要求响应的按无效投标处理）</w:t>
      </w:r>
      <w:r>
        <w:rPr>
          <w:rFonts w:hint="eastAsia" w:ascii="宋体" w:hAnsi="宋体" w:cs="宋体"/>
          <w:b/>
          <w:bCs/>
          <w:color w:val="000000"/>
          <w:sz w:val="24"/>
          <w:szCs w:val="24"/>
        </w:rPr>
        <w:t>。</w:t>
      </w:r>
    </w:p>
    <w:p w14:paraId="4886E75B"/>
    <w:p w14:paraId="7A666C8A">
      <w:pPr>
        <w:pStyle w:val="2"/>
        <w:spacing w:before="0" w:after="0"/>
        <w:jc w:val="center"/>
        <w:rPr>
          <w:rFonts w:ascii="宋体" w:hAnsi="宋体"/>
          <w:color w:val="000000"/>
          <w:sz w:val="24"/>
        </w:rPr>
      </w:pPr>
      <w:r>
        <w:rPr>
          <w:rFonts w:hint="eastAsia" w:ascii="宋体" w:hAnsi="宋体"/>
          <w:color w:val="000000"/>
          <w:sz w:val="24"/>
          <w:szCs w:val="24"/>
        </w:rPr>
        <w:br w:type="page"/>
      </w:r>
      <w:bookmarkStart w:id="59" w:name="_Toc27500"/>
      <w:r>
        <w:rPr>
          <w:rFonts w:hint="eastAsia" w:ascii="宋体" w:hAnsi="宋体"/>
          <w:color w:val="000000"/>
          <w:sz w:val="24"/>
          <w:szCs w:val="24"/>
        </w:rPr>
        <w:t>第六章  附件</w:t>
      </w:r>
      <w:bookmarkEnd w:id="51"/>
      <w:bookmarkEnd w:id="59"/>
    </w:p>
    <w:p w14:paraId="465EEC35">
      <w:pPr>
        <w:pStyle w:val="3"/>
        <w:rPr>
          <w:rFonts w:ascii="宋体" w:hAnsi="宋体" w:eastAsia="宋体"/>
          <w:color w:val="000000"/>
          <w:sz w:val="24"/>
          <w:szCs w:val="24"/>
        </w:rPr>
      </w:pPr>
      <w:bookmarkStart w:id="60" w:name="_Toc73427851"/>
      <w:r>
        <w:rPr>
          <w:rFonts w:hint="eastAsia" w:ascii="宋体" w:hAnsi="宋体" w:eastAsia="宋体"/>
          <w:color w:val="000000"/>
          <w:sz w:val="24"/>
          <w:szCs w:val="24"/>
        </w:rPr>
        <w:t>附件1．投标书</w:t>
      </w:r>
      <w:bookmarkEnd w:id="60"/>
    </w:p>
    <w:p w14:paraId="429893AE">
      <w:pPr>
        <w:spacing w:line="360" w:lineRule="auto"/>
        <w:rPr>
          <w:rFonts w:ascii="宋体" w:hAnsi="宋体"/>
          <w:color w:val="000000"/>
          <w:sz w:val="24"/>
          <w:szCs w:val="24"/>
        </w:rPr>
      </w:pPr>
      <w:r>
        <w:rPr>
          <w:rFonts w:hint="eastAsia" w:ascii="宋体" w:hAnsi="宋体"/>
          <w:color w:val="000000"/>
          <w:sz w:val="24"/>
          <w:szCs w:val="24"/>
        </w:rPr>
        <w:t>致：（</w:t>
      </w:r>
      <w:r>
        <w:rPr>
          <w:rFonts w:hint="eastAsia" w:ascii="宋体" w:hAnsi="宋体"/>
          <w:i/>
          <w:color w:val="000000"/>
          <w:sz w:val="24"/>
          <w:szCs w:val="24"/>
          <w:u w:val="single"/>
        </w:rPr>
        <w:t>招标人</w:t>
      </w:r>
      <w:r>
        <w:rPr>
          <w:rFonts w:hint="eastAsia" w:ascii="宋体" w:hAnsi="宋体"/>
          <w:color w:val="000000"/>
          <w:sz w:val="24"/>
          <w:szCs w:val="24"/>
        </w:rPr>
        <w:t>）</w:t>
      </w:r>
    </w:p>
    <w:p w14:paraId="72665FA9">
      <w:pPr>
        <w:spacing w:line="360" w:lineRule="auto"/>
        <w:rPr>
          <w:rFonts w:ascii="宋体" w:hAnsi="宋体"/>
          <w:color w:val="000000"/>
          <w:sz w:val="24"/>
          <w:szCs w:val="24"/>
        </w:rPr>
      </w:pPr>
      <w:r>
        <w:rPr>
          <w:rFonts w:hint="eastAsia" w:ascii="宋体" w:hAnsi="宋体"/>
          <w:color w:val="000000"/>
          <w:sz w:val="24"/>
          <w:szCs w:val="24"/>
        </w:rPr>
        <w:t xml:space="preserve">    根据贵方为（</w:t>
      </w:r>
      <w:r>
        <w:rPr>
          <w:rFonts w:hint="eastAsia" w:ascii="宋体" w:hAnsi="宋体"/>
          <w:i/>
          <w:color w:val="000000"/>
          <w:sz w:val="24"/>
          <w:szCs w:val="24"/>
          <w:u w:val="single"/>
        </w:rPr>
        <w:t>项目名称</w:t>
      </w:r>
      <w:r>
        <w:rPr>
          <w:rFonts w:hint="eastAsia" w:ascii="宋体" w:hAnsi="宋体"/>
          <w:color w:val="000000"/>
          <w:sz w:val="24"/>
          <w:szCs w:val="24"/>
        </w:rPr>
        <w:t>）项目招标采购货物及服务的投标邀请（</w:t>
      </w:r>
      <w:r>
        <w:rPr>
          <w:rFonts w:hint="eastAsia" w:ascii="宋体" w:hAnsi="宋体"/>
          <w:i/>
          <w:color w:val="000000"/>
          <w:sz w:val="24"/>
          <w:szCs w:val="24"/>
          <w:u w:val="single"/>
        </w:rPr>
        <w:t>招标编号</w:t>
      </w:r>
      <w:r>
        <w:rPr>
          <w:rFonts w:hint="eastAsia" w:ascii="宋体" w:hAnsi="宋体"/>
          <w:color w:val="000000"/>
          <w:sz w:val="24"/>
          <w:szCs w:val="24"/>
        </w:rPr>
        <w:t>），签字代表（</w:t>
      </w:r>
      <w:r>
        <w:rPr>
          <w:rFonts w:hint="eastAsia" w:ascii="宋体" w:hAnsi="宋体"/>
          <w:i/>
          <w:color w:val="000000"/>
          <w:sz w:val="24"/>
          <w:szCs w:val="24"/>
          <w:u w:val="single"/>
        </w:rPr>
        <w:t>姓名、职务</w:t>
      </w:r>
      <w:r>
        <w:rPr>
          <w:rFonts w:hint="eastAsia" w:ascii="宋体" w:hAnsi="宋体"/>
          <w:color w:val="000000"/>
          <w:sz w:val="24"/>
          <w:szCs w:val="24"/>
        </w:rPr>
        <w:t>）经正式授权并代表投标人（</w:t>
      </w:r>
      <w:r>
        <w:rPr>
          <w:rFonts w:hint="eastAsia" w:ascii="宋体" w:hAnsi="宋体"/>
          <w:i/>
          <w:color w:val="000000"/>
          <w:sz w:val="24"/>
          <w:szCs w:val="24"/>
          <w:u w:val="single"/>
        </w:rPr>
        <w:t>投标人名称、地址</w:t>
      </w:r>
      <w:r>
        <w:rPr>
          <w:rFonts w:hint="eastAsia" w:ascii="宋体" w:hAnsi="宋体"/>
          <w:color w:val="000000"/>
          <w:sz w:val="24"/>
          <w:szCs w:val="24"/>
        </w:rPr>
        <w:t>）提交下述文件正本一份及副本</w:t>
      </w:r>
      <w:r>
        <w:rPr>
          <w:rFonts w:hint="eastAsia" w:ascii="宋体" w:hAnsi="宋体"/>
          <w:color w:val="000000"/>
          <w:sz w:val="24"/>
          <w:szCs w:val="24"/>
          <w:u w:val="single"/>
        </w:rPr>
        <w:t xml:space="preserve"> 四 </w:t>
      </w:r>
      <w:r>
        <w:rPr>
          <w:rFonts w:hint="eastAsia" w:ascii="宋体" w:hAnsi="宋体"/>
          <w:color w:val="000000"/>
          <w:sz w:val="24"/>
          <w:szCs w:val="24"/>
        </w:rPr>
        <w:t>份。</w:t>
      </w:r>
    </w:p>
    <w:p w14:paraId="5C70D459">
      <w:pPr>
        <w:numPr>
          <w:ilvl w:val="0"/>
          <w:numId w:val="13"/>
        </w:numPr>
        <w:spacing w:line="360" w:lineRule="auto"/>
        <w:rPr>
          <w:rFonts w:ascii="宋体" w:hAnsi="宋体"/>
          <w:color w:val="000000"/>
          <w:sz w:val="24"/>
          <w:szCs w:val="24"/>
        </w:rPr>
      </w:pPr>
      <w:r>
        <w:rPr>
          <w:rFonts w:hint="eastAsia" w:ascii="宋体" w:hAnsi="宋体"/>
          <w:color w:val="000000"/>
          <w:sz w:val="24"/>
          <w:szCs w:val="24"/>
        </w:rPr>
        <w:t>投标一览表</w:t>
      </w:r>
    </w:p>
    <w:p w14:paraId="6F8F4135">
      <w:pPr>
        <w:numPr>
          <w:ilvl w:val="0"/>
          <w:numId w:val="13"/>
        </w:numPr>
        <w:spacing w:line="360" w:lineRule="auto"/>
        <w:rPr>
          <w:rFonts w:ascii="宋体" w:hAnsi="宋体"/>
          <w:color w:val="000000"/>
          <w:sz w:val="24"/>
          <w:szCs w:val="24"/>
        </w:rPr>
      </w:pPr>
      <w:r>
        <w:rPr>
          <w:rFonts w:hint="eastAsia" w:ascii="宋体" w:hAnsi="宋体"/>
          <w:color w:val="000000"/>
          <w:sz w:val="24"/>
          <w:szCs w:val="24"/>
        </w:rPr>
        <w:t>投标分项报价表</w:t>
      </w:r>
    </w:p>
    <w:p w14:paraId="65C57727">
      <w:pPr>
        <w:numPr>
          <w:ilvl w:val="0"/>
          <w:numId w:val="13"/>
        </w:numPr>
        <w:spacing w:line="360" w:lineRule="auto"/>
        <w:rPr>
          <w:rFonts w:ascii="宋体" w:hAnsi="宋体"/>
          <w:color w:val="000000"/>
          <w:sz w:val="24"/>
          <w:szCs w:val="24"/>
        </w:rPr>
      </w:pPr>
      <w:r>
        <w:rPr>
          <w:rFonts w:hint="eastAsia" w:ascii="宋体" w:hAnsi="宋体"/>
          <w:color w:val="000000"/>
          <w:sz w:val="24"/>
          <w:szCs w:val="24"/>
        </w:rPr>
        <w:t>技术规格偏离表</w:t>
      </w:r>
    </w:p>
    <w:p w14:paraId="6378F865">
      <w:pPr>
        <w:numPr>
          <w:ilvl w:val="0"/>
          <w:numId w:val="13"/>
        </w:numPr>
        <w:spacing w:line="360" w:lineRule="auto"/>
        <w:rPr>
          <w:rFonts w:ascii="宋体" w:hAnsi="宋体"/>
          <w:color w:val="000000"/>
          <w:sz w:val="24"/>
          <w:szCs w:val="24"/>
        </w:rPr>
      </w:pPr>
      <w:r>
        <w:rPr>
          <w:rFonts w:hint="eastAsia" w:ascii="宋体" w:hAnsi="宋体"/>
          <w:color w:val="000000"/>
          <w:sz w:val="24"/>
          <w:szCs w:val="24"/>
        </w:rPr>
        <w:t>商务条款偏离表</w:t>
      </w:r>
    </w:p>
    <w:p w14:paraId="32DE23BE">
      <w:pPr>
        <w:numPr>
          <w:ilvl w:val="0"/>
          <w:numId w:val="13"/>
        </w:numPr>
        <w:spacing w:line="360" w:lineRule="auto"/>
        <w:rPr>
          <w:rFonts w:ascii="宋体" w:hAnsi="宋体"/>
          <w:color w:val="000000"/>
          <w:sz w:val="24"/>
          <w:szCs w:val="24"/>
        </w:rPr>
      </w:pPr>
      <w:r>
        <w:rPr>
          <w:rFonts w:hint="eastAsia" w:ascii="宋体" w:hAnsi="宋体"/>
          <w:color w:val="000000"/>
          <w:sz w:val="24"/>
          <w:szCs w:val="24"/>
        </w:rPr>
        <w:t>按招标文件投标人须知和技术规格要求提供的有关文件</w:t>
      </w:r>
    </w:p>
    <w:p w14:paraId="0F0DFCD4">
      <w:pPr>
        <w:numPr>
          <w:ilvl w:val="0"/>
          <w:numId w:val="13"/>
        </w:numPr>
        <w:spacing w:line="360" w:lineRule="auto"/>
        <w:rPr>
          <w:rFonts w:ascii="宋体" w:hAnsi="宋体"/>
          <w:color w:val="000000"/>
          <w:sz w:val="24"/>
          <w:szCs w:val="24"/>
        </w:rPr>
      </w:pPr>
      <w:r>
        <w:rPr>
          <w:rFonts w:hint="eastAsia" w:ascii="宋体" w:hAnsi="宋体"/>
          <w:color w:val="000000"/>
          <w:sz w:val="24"/>
          <w:szCs w:val="24"/>
        </w:rPr>
        <w:t>资格证明文件</w:t>
      </w:r>
    </w:p>
    <w:p w14:paraId="26A90B76">
      <w:pPr>
        <w:numPr>
          <w:ilvl w:val="0"/>
          <w:numId w:val="13"/>
        </w:numPr>
        <w:spacing w:line="360" w:lineRule="auto"/>
        <w:rPr>
          <w:rFonts w:ascii="宋体" w:hAnsi="宋体"/>
          <w:color w:val="000000"/>
          <w:sz w:val="24"/>
          <w:szCs w:val="24"/>
        </w:rPr>
      </w:pPr>
      <w:r>
        <w:rPr>
          <w:rFonts w:hint="eastAsia" w:ascii="宋体" w:hAnsi="宋体"/>
          <w:color w:val="000000"/>
          <w:sz w:val="24"/>
          <w:szCs w:val="24"/>
        </w:rPr>
        <w:t>投标保证金，金额为（</w:t>
      </w:r>
      <w:r>
        <w:rPr>
          <w:rFonts w:hint="eastAsia" w:ascii="宋体" w:hAnsi="宋体"/>
          <w:i/>
          <w:color w:val="000000"/>
          <w:sz w:val="24"/>
          <w:szCs w:val="24"/>
          <w:u w:val="single"/>
        </w:rPr>
        <w:t>金额数和币种</w:t>
      </w:r>
      <w:r>
        <w:rPr>
          <w:rFonts w:hint="eastAsia" w:ascii="宋体" w:hAnsi="宋体"/>
          <w:color w:val="000000"/>
          <w:sz w:val="24"/>
          <w:szCs w:val="24"/>
        </w:rPr>
        <w:t>）。</w:t>
      </w:r>
    </w:p>
    <w:p w14:paraId="3E297B6B">
      <w:pPr>
        <w:spacing w:line="360" w:lineRule="auto"/>
        <w:rPr>
          <w:rFonts w:ascii="宋体" w:hAnsi="宋体"/>
          <w:color w:val="000000"/>
          <w:sz w:val="24"/>
          <w:szCs w:val="24"/>
        </w:rPr>
      </w:pPr>
      <w:r>
        <w:rPr>
          <w:rFonts w:hint="eastAsia" w:ascii="宋体" w:hAnsi="宋体"/>
          <w:color w:val="000000"/>
          <w:sz w:val="24"/>
          <w:szCs w:val="24"/>
        </w:rPr>
        <w:t xml:space="preserve">    据此函，签字代表宣布同意如下：</w:t>
      </w:r>
    </w:p>
    <w:p w14:paraId="587091A2">
      <w:pPr>
        <w:numPr>
          <w:ilvl w:val="0"/>
          <w:numId w:val="14"/>
        </w:numPr>
        <w:spacing w:line="360" w:lineRule="auto"/>
        <w:rPr>
          <w:rFonts w:ascii="宋体" w:hAnsi="宋体"/>
          <w:color w:val="000000"/>
          <w:sz w:val="24"/>
          <w:szCs w:val="24"/>
        </w:rPr>
      </w:pPr>
      <w:r>
        <w:rPr>
          <w:rFonts w:hint="eastAsia" w:ascii="宋体" w:hAnsi="宋体"/>
          <w:color w:val="000000"/>
          <w:sz w:val="24"/>
          <w:szCs w:val="24"/>
        </w:rPr>
        <w:t>所附投标价格表中规定的应提交和交付的货物投标总价为（</w:t>
      </w:r>
      <w:r>
        <w:rPr>
          <w:rFonts w:hint="eastAsia" w:ascii="宋体" w:hAnsi="宋体"/>
          <w:i/>
          <w:color w:val="000000"/>
          <w:sz w:val="24"/>
          <w:szCs w:val="24"/>
          <w:u w:val="single"/>
        </w:rPr>
        <w:t>注明币种，并用文字和数字表示的投标总价</w:t>
      </w:r>
      <w:r>
        <w:rPr>
          <w:rFonts w:hint="eastAsia" w:ascii="宋体" w:hAnsi="宋体"/>
          <w:color w:val="000000"/>
          <w:sz w:val="24"/>
          <w:szCs w:val="24"/>
        </w:rPr>
        <w:t>）。</w:t>
      </w:r>
    </w:p>
    <w:p w14:paraId="718FE4EA">
      <w:pPr>
        <w:numPr>
          <w:ilvl w:val="0"/>
          <w:numId w:val="14"/>
        </w:numPr>
        <w:spacing w:line="360" w:lineRule="auto"/>
        <w:rPr>
          <w:rFonts w:ascii="宋体" w:hAnsi="宋体"/>
          <w:color w:val="000000"/>
          <w:sz w:val="24"/>
          <w:szCs w:val="24"/>
        </w:rPr>
      </w:pPr>
      <w:r>
        <w:rPr>
          <w:rFonts w:hint="eastAsia" w:ascii="宋体" w:hAnsi="宋体"/>
          <w:color w:val="000000"/>
          <w:sz w:val="24"/>
          <w:szCs w:val="24"/>
        </w:rPr>
        <w:t>投标人将按招标文件的规定履行合同责任和义务。</w:t>
      </w:r>
    </w:p>
    <w:p w14:paraId="384DE8E2">
      <w:pPr>
        <w:numPr>
          <w:ilvl w:val="0"/>
          <w:numId w:val="14"/>
        </w:numPr>
        <w:spacing w:line="360" w:lineRule="auto"/>
        <w:rPr>
          <w:rFonts w:ascii="宋体" w:hAnsi="宋体"/>
          <w:color w:val="000000"/>
          <w:sz w:val="24"/>
          <w:szCs w:val="24"/>
        </w:rPr>
      </w:pPr>
      <w:r>
        <w:rPr>
          <w:rFonts w:hint="eastAsia" w:ascii="宋体" w:hAnsi="宋体"/>
          <w:color w:val="000000"/>
          <w:sz w:val="24"/>
          <w:szCs w:val="24"/>
        </w:rPr>
        <w:t>投标人已详细审查全部招标文件，包括</w:t>
      </w:r>
      <w:r>
        <w:rPr>
          <w:rFonts w:hint="eastAsia" w:ascii="宋体" w:hAnsi="宋体"/>
          <w:color w:val="000000"/>
          <w:sz w:val="24"/>
          <w:szCs w:val="24"/>
          <w:u w:val="single"/>
        </w:rPr>
        <w:t>更正公告（</w:t>
      </w:r>
      <w:r>
        <w:rPr>
          <w:rFonts w:hint="eastAsia" w:ascii="宋体" w:hAnsi="宋体"/>
          <w:i/>
          <w:color w:val="000000"/>
          <w:sz w:val="24"/>
          <w:szCs w:val="24"/>
          <w:u w:val="single"/>
        </w:rPr>
        <w:t>如果有的话</w:t>
      </w:r>
      <w:r>
        <w:rPr>
          <w:rFonts w:hint="eastAsia" w:ascii="宋体" w:hAnsi="宋体"/>
          <w:color w:val="000000"/>
          <w:sz w:val="24"/>
          <w:szCs w:val="24"/>
          <w:u w:val="single"/>
        </w:rPr>
        <w:t>）</w:t>
      </w:r>
      <w:r>
        <w:rPr>
          <w:rFonts w:hint="eastAsia" w:ascii="宋体" w:hAnsi="宋体"/>
          <w:color w:val="000000"/>
          <w:sz w:val="24"/>
          <w:szCs w:val="24"/>
        </w:rPr>
        <w:t>。我们完全理解并同意放弃对这方面有不明及误解的权力。</w:t>
      </w:r>
    </w:p>
    <w:p w14:paraId="1FEBF3F4">
      <w:pPr>
        <w:numPr>
          <w:ilvl w:val="0"/>
          <w:numId w:val="14"/>
        </w:numPr>
        <w:spacing w:line="360" w:lineRule="auto"/>
        <w:rPr>
          <w:rFonts w:ascii="宋体" w:hAnsi="宋体"/>
          <w:color w:val="000000"/>
          <w:sz w:val="24"/>
          <w:szCs w:val="24"/>
        </w:rPr>
      </w:pPr>
      <w:r>
        <w:rPr>
          <w:rFonts w:hint="eastAsia" w:ascii="宋体" w:hAnsi="宋体"/>
          <w:color w:val="000000"/>
          <w:sz w:val="24"/>
          <w:szCs w:val="24"/>
        </w:rPr>
        <w:t>本投标有效期为自开标日起</w:t>
      </w:r>
      <w:r>
        <w:rPr>
          <w:rFonts w:hint="eastAsia" w:ascii="宋体" w:hAnsi="宋体"/>
          <w:color w:val="000000"/>
          <w:sz w:val="24"/>
          <w:szCs w:val="24"/>
          <w:u w:val="single"/>
        </w:rPr>
        <w:t xml:space="preserve">      </w:t>
      </w:r>
      <w:r>
        <w:rPr>
          <w:rFonts w:hint="eastAsia" w:ascii="宋体" w:hAnsi="宋体"/>
          <w:color w:val="000000"/>
          <w:sz w:val="24"/>
          <w:szCs w:val="24"/>
        </w:rPr>
        <w:t>个日历日。</w:t>
      </w:r>
    </w:p>
    <w:p w14:paraId="39FAA6EA">
      <w:pPr>
        <w:numPr>
          <w:ilvl w:val="0"/>
          <w:numId w:val="14"/>
        </w:numPr>
        <w:spacing w:line="360" w:lineRule="auto"/>
        <w:rPr>
          <w:rFonts w:ascii="宋体" w:hAnsi="宋体"/>
          <w:color w:val="000000"/>
          <w:sz w:val="24"/>
          <w:szCs w:val="24"/>
        </w:rPr>
      </w:pPr>
      <w:r>
        <w:rPr>
          <w:rFonts w:hint="eastAsia" w:ascii="宋体" w:hAnsi="宋体"/>
          <w:color w:val="000000"/>
          <w:sz w:val="24"/>
          <w:szCs w:val="24"/>
        </w:rPr>
        <w:t>如果在规定的开标时间后，投标人在投标有效期内撤回投标，其投标保证金将被贵方没收。</w:t>
      </w:r>
    </w:p>
    <w:p w14:paraId="5FE23F97">
      <w:pPr>
        <w:numPr>
          <w:ilvl w:val="0"/>
          <w:numId w:val="14"/>
        </w:numPr>
        <w:spacing w:line="360" w:lineRule="auto"/>
        <w:rPr>
          <w:rFonts w:ascii="宋体" w:hAnsi="宋体"/>
          <w:color w:val="000000"/>
          <w:sz w:val="24"/>
          <w:szCs w:val="24"/>
        </w:rPr>
      </w:pPr>
      <w:r>
        <w:rPr>
          <w:rFonts w:hint="eastAsia" w:ascii="宋体" w:hAnsi="宋体"/>
          <w:color w:val="000000"/>
          <w:sz w:val="24"/>
          <w:szCs w:val="24"/>
        </w:rPr>
        <w:t>根据投标人须知第2条规定，我方承诺，与招标人聘请的为此项目提供咨询服务的公司及任何附属机构均无关联，我方不是招标人的附属机构。</w:t>
      </w:r>
    </w:p>
    <w:p w14:paraId="05AE62DE">
      <w:pPr>
        <w:numPr>
          <w:ilvl w:val="0"/>
          <w:numId w:val="14"/>
        </w:numPr>
        <w:spacing w:line="360" w:lineRule="auto"/>
        <w:rPr>
          <w:rFonts w:ascii="宋体" w:hAnsi="宋体"/>
          <w:color w:val="000000"/>
          <w:sz w:val="24"/>
          <w:szCs w:val="24"/>
        </w:rPr>
      </w:pPr>
      <w:r>
        <w:rPr>
          <w:rFonts w:hint="eastAsia" w:ascii="宋体" w:hAnsi="宋体"/>
          <w:color w:val="000000"/>
          <w:sz w:val="24"/>
          <w:szCs w:val="24"/>
        </w:rPr>
        <w:t>投标人同意提供按照贵方可能要求的与其投标有关的一切数据或资料，完全理解贵方不一定接受最低价的投标或收到的任何投标。</w:t>
      </w:r>
    </w:p>
    <w:p w14:paraId="0E139E6A">
      <w:pPr>
        <w:numPr>
          <w:ilvl w:val="0"/>
          <w:numId w:val="14"/>
        </w:numPr>
        <w:spacing w:line="360" w:lineRule="auto"/>
        <w:rPr>
          <w:rFonts w:ascii="宋体" w:hAnsi="宋体"/>
          <w:color w:val="000000"/>
          <w:sz w:val="24"/>
          <w:szCs w:val="24"/>
        </w:rPr>
      </w:pPr>
      <w:r>
        <w:rPr>
          <w:rFonts w:hint="eastAsia" w:ascii="宋体" w:hAnsi="宋体"/>
          <w:color w:val="000000"/>
          <w:sz w:val="24"/>
          <w:szCs w:val="24"/>
        </w:rPr>
        <w:t>与本投标有关的一切正式往来信函请寄：</w:t>
      </w:r>
    </w:p>
    <w:p w14:paraId="21B11217">
      <w:pPr>
        <w:spacing w:line="360" w:lineRule="auto"/>
        <w:ind w:firstLine="480" w:firstLineChars="200"/>
        <w:rPr>
          <w:rFonts w:ascii="宋体" w:hAnsi="宋体"/>
          <w:color w:val="000000"/>
          <w:sz w:val="24"/>
          <w:szCs w:val="24"/>
        </w:rPr>
      </w:pPr>
      <w:r>
        <w:rPr>
          <w:rFonts w:hint="eastAsia" w:ascii="宋体" w:hAnsi="宋体"/>
          <w:color w:val="000000"/>
          <w:sz w:val="24"/>
          <w:szCs w:val="24"/>
        </w:rPr>
        <w:t>地址</w:t>
      </w:r>
      <w:r>
        <w:rPr>
          <w:rFonts w:hint="eastAsia" w:ascii="宋体" w:hAnsi="宋体"/>
          <w:color w:val="000000"/>
          <w:sz w:val="24"/>
          <w:szCs w:val="24"/>
          <w:u w:val="single"/>
        </w:rPr>
        <w:t xml:space="preserve">                             </w:t>
      </w:r>
      <w:r>
        <w:rPr>
          <w:rFonts w:hint="eastAsia" w:ascii="宋体" w:hAnsi="宋体"/>
          <w:color w:val="000000"/>
          <w:sz w:val="24"/>
          <w:szCs w:val="24"/>
        </w:rPr>
        <w:t xml:space="preserve">  传真</w:t>
      </w:r>
      <w:r>
        <w:rPr>
          <w:rFonts w:hint="eastAsia" w:ascii="宋体" w:hAnsi="宋体"/>
          <w:color w:val="000000"/>
          <w:sz w:val="24"/>
          <w:szCs w:val="24"/>
          <w:u w:val="single"/>
        </w:rPr>
        <w:t xml:space="preserve">                         </w:t>
      </w:r>
    </w:p>
    <w:p w14:paraId="210FBE12">
      <w:pPr>
        <w:spacing w:after="960" w:line="360" w:lineRule="auto"/>
        <w:ind w:firstLine="480" w:firstLineChars="200"/>
        <w:rPr>
          <w:rFonts w:ascii="宋体" w:hAnsi="宋体"/>
          <w:color w:val="000000"/>
          <w:sz w:val="24"/>
          <w:szCs w:val="24"/>
        </w:rPr>
      </w:pPr>
      <w:r>
        <w:rPr>
          <w:rFonts w:hint="eastAsia" w:ascii="宋体" w:hAnsi="宋体"/>
          <w:color w:val="000000"/>
          <w:sz w:val="24"/>
          <w:szCs w:val="24"/>
        </w:rPr>
        <w:t>电话</w:t>
      </w:r>
      <w:r>
        <w:rPr>
          <w:rFonts w:hint="eastAsia" w:ascii="宋体" w:hAnsi="宋体"/>
          <w:color w:val="000000"/>
          <w:sz w:val="24"/>
          <w:szCs w:val="24"/>
          <w:u w:val="single"/>
        </w:rPr>
        <w:t xml:space="preserve">                             </w:t>
      </w:r>
      <w:r>
        <w:rPr>
          <w:rFonts w:hint="eastAsia" w:ascii="宋体" w:hAnsi="宋体"/>
          <w:color w:val="000000"/>
          <w:sz w:val="24"/>
          <w:szCs w:val="24"/>
        </w:rPr>
        <w:t xml:space="preserve">  电子函件</w:t>
      </w:r>
      <w:r>
        <w:rPr>
          <w:rFonts w:hint="eastAsia" w:ascii="宋体" w:hAnsi="宋体"/>
          <w:color w:val="000000"/>
          <w:sz w:val="24"/>
          <w:szCs w:val="24"/>
          <w:u w:val="single"/>
        </w:rPr>
        <w:t xml:space="preserve">                     </w:t>
      </w:r>
    </w:p>
    <w:p w14:paraId="73FB777A">
      <w:pPr>
        <w:spacing w:line="360" w:lineRule="auto"/>
        <w:ind w:firstLine="480" w:firstLineChars="200"/>
        <w:rPr>
          <w:rFonts w:ascii="宋体" w:hAnsi="宋体"/>
          <w:color w:val="000000"/>
          <w:sz w:val="24"/>
          <w:szCs w:val="24"/>
        </w:rPr>
      </w:pPr>
      <w:r>
        <w:rPr>
          <w:rFonts w:hint="eastAsia" w:ascii="宋体" w:hAnsi="宋体"/>
          <w:color w:val="000000"/>
          <w:sz w:val="24"/>
          <w:szCs w:val="24"/>
        </w:rPr>
        <w:t>投标人代表签字</w:t>
      </w:r>
      <w:r>
        <w:rPr>
          <w:rFonts w:hint="eastAsia" w:ascii="宋体" w:hAnsi="宋体"/>
          <w:color w:val="000000"/>
          <w:sz w:val="24"/>
          <w:szCs w:val="24"/>
          <w:u w:val="single"/>
        </w:rPr>
        <w:t xml:space="preserve">                  </w:t>
      </w:r>
    </w:p>
    <w:p w14:paraId="11237357">
      <w:pPr>
        <w:spacing w:line="360" w:lineRule="auto"/>
        <w:ind w:firstLine="480" w:firstLineChars="200"/>
        <w:rPr>
          <w:rFonts w:ascii="宋体" w:hAnsi="宋体"/>
          <w:color w:val="000000"/>
          <w:sz w:val="24"/>
          <w:szCs w:val="24"/>
        </w:rPr>
      </w:pPr>
      <w:r>
        <w:rPr>
          <w:rFonts w:hint="eastAsia" w:ascii="宋体" w:hAnsi="宋体"/>
          <w:color w:val="000000"/>
          <w:sz w:val="24"/>
          <w:szCs w:val="24"/>
        </w:rPr>
        <w:t>投标人名称</w:t>
      </w:r>
      <w:r>
        <w:rPr>
          <w:rFonts w:hint="eastAsia" w:ascii="宋体" w:hAnsi="宋体"/>
          <w:color w:val="000000"/>
          <w:sz w:val="24"/>
          <w:szCs w:val="24"/>
          <w:u w:val="single"/>
        </w:rPr>
        <w:t xml:space="preserve">                      </w:t>
      </w:r>
    </w:p>
    <w:p w14:paraId="180C995D">
      <w:pPr>
        <w:spacing w:line="360" w:lineRule="auto"/>
        <w:ind w:firstLine="480" w:firstLineChars="200"/>
        <w:rPr>
          <w:rFonts w:ascii="宋体" w:hAnsi="宋体"/>
          <w:color w:val="000000"/>
          <w:sz w:val="24"/>
          <w:szCs w:val="24"/>
        </w:rPr>
      </w:pPr>
      <w:r>
        <w:rPr>
          <w:rFonts w:hint="eastAsia" w:ascii="宋体" w:hAnsi="宋体"/>
          <w:color w:val="000000"/>
          <w:sz w:val="24"/>
          <w:szCs w:val="24"/>
        </w:rPr>
        <w:t>公章</w:t>
      </w:r>
      <w:r>
        <w:rPr>
          <w:rFonts w:hint="eastAsia" w:ascii="宋体" w:hAnsi="宋体"/>
          <w:color w:val="000000"/>
          <w:sz w:val="24"/>
          <w:szCs w:val="24"/>
          <w:u w:val="single"/>
        </w:rPr>
        <w:t xml:space="preserve">                            </w:t>
      </w:r>
    </w:p>
    <w:p w14:paraId="36644693">
      <w:pPr>
        <w:spacing w:line="360" w:lineRule="auto"/>
        <w:ind w:firstLine="480" w:firstLineChars="200"/>
        <w:rPr>
          <w:rFonts w:ascii="宋体" w:hAnsi="宋体"/>
          <w:color w:val="000000"/>
          <w:sz w:val="24"/>
          <w:szCs w:val="24"/>
          <w:u w:val="single"/>
        </w:rPr>
      </w:pPr>
      <w:r>
        <w:rPr>
          <w:rFonts w:hint="eastAsia" w:ascii="宋体" w:hAnsi="宋体"/>
          <w:color w:val="000000"/>
          <w:sz w:val="24"/>
          <w:szCs w:val="24"/>
        </w:rPr>
        <w:t>日期</w:t>
      </w:r>
      <w:r>
        <w:rPr>
          <w:rFonts w:hint="eastAsia" w:ascii="宋体" w:hAnsi="宋体"/>
          <w:color w:val="000000"/>
          <w:sz w:val="24"/>
          <w:szCs w:val="24"/>
          <w:u w:val="single"/>
        </w:rPr>
        <w:t xml:space="preserve">                            </w:t>
      </w:r>
    </w:p>
    <w:p w14:paraId="39195EDA">
      <w:pPr>
        <w:pStyle w:val="3"/>
        <w:rPr>
          <w:rFonts w:ascii="宋体" w:hAnsi="宋体" w:eastAsia="宋体"/>
          <w:color w:val="000000"/>
          <w:sz w:val="24"/>
          <w:szCs w:val="24"/>
        </w:rPr>
        <w:sectPr>
          <w:footerReference r:id="rId7" w:type="default"/>
          <w:pgSz w:w="11906" w:h="16838"/>
          <w:pgMar w:top="1440" w:right="1797" w:bottom="1440" w:left="1797" w:header="851" w:footer="992" w:gutter="0"/>
          <w:cols w:space="720" w:num="1"/>
          <w:docGrid w:linePitch="326" w:charSpace="0"/>
        </w:sectPr>
      </w:pPr>
      <w:bookmarkStart w:id="61" w:name="_Toc73427852"/>
      <w:bookmarkStart w:id="62" w:name="_Toc48983163"/>
    </w:p>
    <w:p w14:paraId="17943199">
      <w:pPr>
        <w:pStyle w:val="3"/>
        <w:rPr>
          <w:rFonts w:ascii="宋体" w:hAnsi="宋体" w:eastAsia="宋体"/>
          <w:color w:val="000000"/>
          <w:sz w:val="24"/>
          <w:szCs w:val="24"/>
        </w:rPr>
      </w:pPr>
      <w:r>
        <w:rPr>
          <w:rFonts w:hint="eastAsia" w:ascii="宋体" w:hAnsi="宋体" w:eastAsia="宋体"/>
          <w:color w:val="000000"/>
          <w:sz w:val="24"/>
          <w:szCs w:val="24"/>
        </w:rPr>
        <w:t>附件2．投标一览表</w:t>
      </w:r>
      <w:bookmarkEnd w:id="61"/>
      <w:bookmarkEnd w:id="62"/>
    </w:p>
    <w:p w14:paraId="2B3F83A4">
      <w:pPr>
        <w:spacing w:line="360" w:lineRule="auto"/>
        <w:rPr>
          <w:rFonts w:ascii="宋体" w:hAnsi="宋体"/>
          <w:color w:val="000000"/>
          <w:sz w:val="24"/>
          <w:szCs w:val="24"/>
          <w:u w:val="single"/>
        </w:rPr>
      </w:pPr>
      <w:r>
        <w:rPr>
          <w:rFonts w:hint="eastAsia" w:ascii="宋体" w:hAnsi="宋体"/>
          <w:color w:val="000000"/>
          <w:sz w:val="24"/>
          <w:szCs w:val="24"/>
        </w:rPr>
        <w:t>投标人名称：</w:t>
      </w:r>
      <w:r>
        <w:rPr>
          <w:rFonts w:hint="eastAsia" w:ascii="宋体" w:hAnsi="宋体"/>
          <w:color w:val="000000"/>
          <w:sz w:val="24"/>
          <w:szCs w:val="24"/>
          <w:u w:val="single"/>
        </w:rPr>
        <w:t xml:space="preserve">       （公章）                   </w:t>
      </w:r>
      <w:r>
        <w:rPr>
          <w:rFonts w:hint="eastAsia" w:ascii="宋体" w:hAnsi="宋体"/>
          <w:color w:val="000000"/>
          <w:sz w:val="24"/>
          <w:szCs w:val="24"/>
        </w:rPr>
        <w:t xml:space="preserve"> 招标编号：</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tbl>
      <w:tblPr>
        <w:tblStyle w:val="4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3"/>
        <w:gridCol w:w="3687"/>
        <w:gridCol w:w="1976"/>
        <w:gridCol w:w="1974"/>
      </w:tblGrid>
      <w:tr w14:paraId="1AB77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11" w:type="pct"/>
            <w:vMerge w:val="restart"/>
            <w:vAlign w:val="center"/>
          </w:tcPr>
          <w:p w14:paraId="3EA9E1E0">
            <w:pPr>
              <w:tabs>
                <w:tab w:val="left" w:pos="5580"/>
              </w:tabs>
              <w:jc w:val="center"/>
              <w:rPr>
                <w:b/>
                <w:sz w:val="24"/>
              </w:rPr>
            </w:pPr>
            <w:r>
              <w:rPr>
                <w:b/>
                <w:sz w:val="24"/>
              </w:rPr>
              <w:t>序号</w:t>
            </w:r>
          </w:p>
        </w:tc>
        <w:tc>
          <w:tcPr>
            <w:tcW w:w="2215" w:type="pct"/>
            <w:vMerge w:val="restart"/>
            <w:vAlign w:val="center"/>
          </w:tcPr>
          <w:p w14:paraId="164B2A2A">
            <w:pPr>
              <w:tabs>
                <w:tab w:val="left" w:pos="5580"/>
              </w:tabs>
              <w:jc w:val="center"/>
              <w:rPr>
                <w:b/>
                <w:sz w:val="24"/>
              </w:rPr>
            </w:pPr>
            <w:r>
              <w:rPr>
                <w:b/>
                <w:sz w:val="24"/>
              </w:rPr>
              <w:t>投标人名称</w:t>
            </w:r>
          </w:p>
        </w:tc>
        <w:tc>
          <w:tcPr>
            <w:tcW w:w="2373" w:type="pct"/>
            <w:gridSpan w:val="2"/>
            <w:vAlign w:val="center"/>
          </w:tcPr>
          <w:p w14:paraId="5C9D544A">
            <w:pPr>
              <w:tabs>
                <w:tab w:val="left" w:pos="5580"/>
              </w:tabs>
              <w:jc w:val="center"/>
              <w:rPr>
                <w:b/>
                <w:sz w:val="24"/>
              </w:rPr>
            </w:pPr>
            <w:r>
              <w:rPr>
                <w:b/>
                <w:sz w:val="24"/>
              </w:rPr>
              <w:t>投标报价</w:t>
            </w:r>
          </w:p>
        </w:tc>
      </w:tr>
      <w:tr w14:paraId="699B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1" w:type="pct"/>
            <w:vMerge w:val="continue"/>
            <w:vAlign w:val="center"/>
          </w:tcPr>
          <w:p w14:paraId="0C2521F3">
            <w:pPr>
              <w:tabs>
                <w:tab w:val="left" w:pos="5580"/>
              </w:tabs>
              <w:jc w:val="center"/>
              <w:rPr>
                <w:sz w:val="24"/>
              </w:rPr>
            </w:pPr>
          </w:p>
        </w:tc>
        <w:tc>
          <w:tcPr>
            <w:tcW w:w="2215" w:type="pct"/>
            <w:vMerge w:val="continue"/>
            <w:vAlign w:val="center"/>
          </w:tcPr>
          <w:p w14:paraId="07942433">
            <w:pPr>
              <w:tabs>
                <w:tab w:val="left" w:pos="5580"/>
              </w:tabs>
              <w:jc w:val="center"/>
              <w:rPr>
                <w:sz w:val="24"/>
              </w:rPr>
            </w:pPr>
          </w:p>
        </w:tc>
        <w:tc>
          <w:tcPr>
            <w:tcW w:w="1187" w:type="pct"/>
            <w:vAlign w:val="center"/>
          </w:tcPr>
          <w:p w14:paraId="593D5F7D">
            <w:pPr>
              <w:tabs>
                <w:tab w:val="left" w:pos="5580"/>
              </w:tabs>
              <w:jc w:val="center"/>
              <w:rPr>
                <w:b/>
                <w:sz w:val="24"/>
              </w:rPr>
            </w:pPr>
            <w:r>
              <w:rPr>
                <w:b/>
                <w:sz w:val="24"/>
              </w:rPr>
              <w:t>大写</w:t>
            </w:r>
          </w:p>
        </w:tc>
        <w:tc>
          <w:tcPr>
            <w:tcW w:w="1185" w:type="pct"/>
            <w:vAlign w:val="center"/>
          </w:tcPr>
          <w:p w14:paraId="228529A2">
            <w:pPr>
              <w:tabs>
                <w:tab w:val="left" w:pos="5580"/>
              </w:tabs>
              <w:jc w:val="center"/>
              <w:rPr>
                <w:b/>
                <w:sz w:val="24"/>
              </w:rPr>
            </w:pPr>
            <w:r>
              <w:rPr>
                <w:b/>
                <w:sz w:val="24"/>
              </w:rPr>
              <w:t>小写</w:t>
            </w:r>
          </w:p>
        </w:tc>
      </w:tr>
      <w:tr w14:paraId="5297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1" w:type="pct"/>
            <w:vAlign w:val="center"/>
          </w:tcPr>
          <w:p w14:paraId="7ACBCDC1">
            <w:pPr>
              <w:tabs>
                <w:tab w:val="left" w:pos="5580"/>
              </w:tabs>
              <w:jc w:val="center"/>
              <w:rPr>
                <w:sz w:val="24"/>
              </w:rPr>
            </w:pPr>
          </w:p>
        </w:tc>
        <w:tc>
          <w:tcPr>
            <w:tcW w:w="2215" w:type="pct"/>
            <w:vAlign w:val="center"/>
          </w:tcPr>
          <w:p w14:paraId="77A163E4">
            <w:pPr>
              <w:tabs>
                <w:tab w:val="left" w:pos="5580"/>
              </w:tabs>
              <w:jc w:val="center"/>
              <w:rPr>
                <w:sz w:val="24"/>
              </w:rPr>
            </w:pPr>
          </w:p>
        </w:tc>
        <w:tc>
          <w:tcPr>
            <w:tcW w:w="1187" w:type="pct"/>
            <w:vAlign w:val="center"/>
          </w:tcPr>
          <w:p w14:paraId="0582088F">
            <w:pPr>
              <w:tabs>
                <w:tab w:val="left" w:pos="5580"/>
              </w:tabs>
              <w:jc w:val="center"/>
              <w:rPr>
                <w:sz w:val="24"/>
              </w:rPr>
            </w:pPr>
          </w:p>
        </w:tc>
        <w:tc>
          <w:tcPr>
            <w:tcW w:w="1185" w:type="pct"/>
            <w:vAlign w:val="center"/>
          </w:tcPr>
          <w:p w14:paraId="688F0A9F">
            <w:pPr>
              <w:tabs>
                <w:tab w:val="left" w:pos="5580"/>
              </w:tabs>
              <w:jc w:val="center"/>
              <w:rPr>
                <w:sz w:val="24"/>
              </w:rPr>
            </w:pPr>
          </w:p>
        </w:tc>
      </w:tr>
    </w:tbl>
    <w:p w14:paraId="15D20AB6">
      <w:pPr>
        <w:spacing w:before="720" w:line="360" w:lineRule="auto"/>
        <w:rPr>
          <w:rFonts w:ascii="宋体" w:hAnsi="宋体"/>
          <w:color w:val="000000"/>
          <w:sz w:val="24"/>
          <w:szCs w:val="24"/>
          <w:u w:val="single"/>
        </w:rPr>
      </w:pPr>
      <w:r>
        <w:rPr>
          <w:rFonts w:hint="eastAsia" w:ascii="宋体" w:hAnsi="宋体"/>
          <w:color w:val="000000"/>
          <w:sz w:val="24"/>
          <w:szCs w:val="24"/>
        </w:rPr>
        <w:t>投标人代表签字</w:t>
      </w:r>
      <w:r>
        <w:rPr>
          <w:rFonts w:hint="eastAsia" w:ascii="宋体" w:hAnsi="宋体"/>
          <w:color w:val="000000"/>
          <w:sz w:val="24"/>
          <w:szCs w:val="24"/>
          <w:u w:val="single"/>
        </w:rPr>
        <w:t xml:space="preserve">                             </w:t>
      </w:r>
    </w:p>
    <w:p w14:paraId="35F195F9">
      <w:pPr>
        <w:pStyle w:val="22"/>
        <w:tabs>
          <w:tab w:val="left" w:pos="5580"/>
        </w:tabs>
        <w:spacing w:before="120" w:line="22" w:lineRule="atLeast"/>
        <w:rPr>
          <w:rFonts w:hAnsi="宋体"/>
          <w:color w:val="000000"/>
          <w:sz w:val="24"/>
        </w:rPr>
      </w:pPr>
      <w:r>
        <w:rPr>
          <w:rFonts w:hint="eastAsia" w:hAnsi="宋体"/>
          <w:color w:val="000000"/>
          <w:sz w:val="24"/>
        </w:rPr>
        <w:t>注:1、此表应按投标人须知的规定密封标记并单独递交（一份原件即可）。</w:t>
      </w:r>
    </w:p>
    <w:p w14:paraId="10135198">
      <w:pPr>
        <w:pStyle w:val="22"/>
        <w:tabs>
          <w:tab w:val="left" w:pos="5580"/>
        </w:tabs>
        <w:spacing w:before="120" w:line="22" w:lineRule="atLeast"/>
        <w:ind w:firstLine="360" w:firstLineChars="150"/>
        <w:rPr>
          <w:rFonts w:hAnsi="宋体"/>
          <w:color w:val="000000"/>
          <w:sz w:val="24"/>
        </w:rPr>
      </w:pPr>
      <w:r>
        <w:rPr>
          <w:rFonts w:hint="eastAsia" w:hAnsi="宋体"/>
          <w:color w:val="000000"/>
          <w:sz w:val="24"/>
        </w:rPr>
        <w:t>2、单独递交的此表如与投标文件正本中不一致的，以单独递交的为准。</w:t>
      </w:r>
    </w:p>
    <w:p w14:paraId="502DE96B">
      <w:pPr>
        <w:pStyle w:val="22"/>
        <w:tabs>
          <w:tab w:val="left" w:pos="5580"/>
        </w:tabs>
        <w:spacing w:before="120" w:line="22" w:lineRule="atLeast"/>
        <w:ind w:firstLine="360" w:firstLineChars="150"/>
        <w:rPr>
          <w:rFonts w:hAnsi="宋体"/>
          <w:color w:val="000000"/>
          <w:sz w:val="24"/>
        </w:rPr>
      </w:pPr>
      <w:r>
        <w:rPr>
          <w:rFonts w:hint="eastAsia" w:hAnsi="宋体"/>
          <w:color w:val="000000"/>
          <w:sz w:val="24"/>
        </w:rPr>
        <w:t>3、此表中，投标总价应和附件3中的总价相一致。</w:t>
      </w:r>
    </w:p>
    <w:p w14:paraId="0C60865D">
      <w:pPr>
        <w:spacing w:line="360" w:lineRule="auto"/>
        <w:ind w:firstLine="480" w:firstLineChars="200"/>
        <w:rPr>
          <w:rFonts w:ascii="宋体" w:hAnsi="宋体"/>
          <w:color w:val="000000"/>
          <w:sz w:val="24"/>
          <w:szCs w:val="24"/>
        </w:rPr>
      </w:pPr>
    </w:p>
    <w:p w14:paraId="0228809B">
      <w:pPr>
        <w:pStyle w:val="3"/>
        <w:rPr>
          <w:rFonts w:ascii="宋体" w:hAnsi="宋体" w:eastAsia="宋体"/>
          <w:color w:val="000000"/>
          <w:sz w:val="24"/>
          <w:szCs w:val="24"/>
        </w:rPr>
        <w:sectPr>
          <w:pgSz w:w="11906" w:h="16838"/>
          <w:pgMar w:top="1440" w:right="1797" w:bottom="1440" w:left="1797" w:header="851" w:footer="992" w:gutter="0"/>
          <w:cols w:space="720" w:num="1"/>
          <w:docGrid w:linePitch="326" w:charSpace="0"/>
        </w:sectPr>
      </w:pPr>
      <w:bookmarkStart w:id="63" w:name="_Toc73427853"/>
    </w:p>
    <w:p w14:paraId="5FA706BD">
      <w:pPr>
        <w:pStyle w:val="3"/>
        <w:rPr>
          <w:rFonts w:ascii="宋体" w:hAnsi="宋体" w:eastAsia="宋体"/>
          <w:color w:val="000000"/>
          <w:sz w:val="24"/>
          <w:szCs w:val="24"/>
        </w:rPr>
      </w:pPr>
      <w:r>
        <w:rPr>
          <w:rFonts w:hint="eastAsia" w:ascii="宋体" w:hAnsi="宋体" w:eastAsia="宋体"/>
          <w:color w:val="000000"/>
          <w:sz w:val="24"/>
          <w:szCs w:val="24"/>
        </w:rPr>
        <w:t>附件3．投标分项报价表</w:t>
      </w:r>
      <w:bookmarkEnd w:id="63"/>
    </w:p>
    <w:p w14:paraId="25BA6E95">
      <w:pPr>
        <w:spacing w:line="360" w:lineRule="auto"/>
        <w:rPr>
          <w:rFonts w:ascii="宋体" w:hAnsi="宋体"/>
          <w:color w:val="000000"/>
          <w:sz w:val="24"/>
          <w:szCs w:val="24"/>
          <w:u w:val="single"/>
        </w:rPr>
      </w:pPr>
      <w:r>
        <w:rPr>
          <w:rFonts w:hint="eastAsia" w:ascii="宋体" w:hAnsi="宋体"/>
          <w:color w:val="000000"/>
          <w:sz w:val="24"/>
          <w:szCs w:val="24"/>
        </w:rPr>
        <w:t>投标人名称：</w:t>
      </w:r>
      <w:r>
        <w:rPr>
          <w:rFonts w:hint="eastAsia" w:ascii="宋体" w:hAnsi="宋体"/>
          <w:color w:val="000000"/>
          <w:sz w:val="24"/>
          <w:szCs w:val="24"/>
          <w:u w:val="single"/>
        </w:rPr>
        <w:t xml:space="preserve">       （公章）             </w:t>
      </w:r>
      <w:r>
        <w:rPr>
          <w:rFonts w:hint="eastAsia" w:ascii="宋体" w:hAnsi="宋体"/>
          <w:color w:val="000000"/>
          <w:sz w:val="24"/>
          <w:szCs w:val="24"/>
        </w:rPr>
        <w:t>招标编号：</w:t>
      </w:r>
      <w:r>
        <w:rPr>
          <w:rFonts w:hint="eastAsia" w:ascii="宋体" w:hAnsi="宋体"/>
          <w:color w:val="000000"/>
          <w:sz w:val="24"/>
          <w:szCs w:val="24"/>
          <w:u w:val="single"/>
        </w:rPr>
        <w:t xml:space="preserve">               </w:t>
      </w:r>
    </w:p>
    <w:tbl>
      <w:tblPr>
        <w:tblStyle w:val="4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2856"/>
        <w:gridCol w:w="1317"/>
        <w:gridCol w:w="1442"/>
        <w:gridCol w:w="1334"/>
        <w:gridCol w:w="1737"/>
        <w:gridCol w:w="1791"/>
        <w:gridCol w:w="887"/>
        <w:gridCol w:w="1802"/>
      </w:tblGrid>
      <w:tr w14:paraId="743E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52" w:type="pct"/>
            <w:vAlign w:val="center"/>
          </w:tcPr>
          <w:p w14:paraId="5B5D711F">
            <w:pPr>
              <w:adjustRightInd w:val="0"/>
              <w:snapToGrid w:val="0"/>
              <w:jc w:val="left"/>
              <w:rPr>
                <w:b/>
                <w:sz w:val="24"/>
              </w:rPr>
            </w:pPr>
            <w:bookmarkStart w:id="64" w:name="_Hlk149652791"/>
            <w:r>
              <w:rPr>
                <w:b/>
                <w:sz w:val="24"/>
              </w:rPr>
              <w:t>序号</w:t>
            </w:r>
          </w:p>
        </w:tc>
        <w:tc>
          <w:tcPr>
            <w:tcW w:w="1008" w:type="pct"/>
            <w:vAlign w:val="center"/>
          </w:tcPr>
          <w:p w14:paraId="7C22D66F">
            <w:pPr>
              <w:adjustRightInd w:val="0"/>
              <w:snapToGrid w:val="0"/>
              <w:jc w:val="left"/>
              <w:rPr>
                <w:b/>
                <w:sz w:val="24"/>
              </w:rPr>
            </w:pPr>
            <w:r>
              <w:rPr>
                <w:b/>
                <w:sz w:val="24"/>
              </w:rPr>
              <w:t>分项名称</w:t>
            </w:r>
          </w:p>
        </w:tc>
        <w:tc>
          <w:tcPr>
            <w:tcW w:w="465" w:type="pct"/>
            <w:vAlign w:val="center"/>
          </w:tcPr>
          <w:p w14:paraId="6640773C">
            <w:pPr>
              <w:adjustRightInd w:val="0"/>
              <w:snapToGrid w:val="0"/>
              <w:jc w:val="left"/>
              <w:rPr>
                <w:b/>
                <w:sz w:val="24"/>
              </w:rPr>
            </w:pPr>
            <w:r>
              <w:rPr>
                <w:b/>
                <w:sz w:val="24"/>
              </w:rPr>
              <w:t>制造商</w:t>
            </w:r>
          </w:p>
        </w:tc>
        <w:tc>
          <w:tcPr>
            <w:tcW w:w="509" w:type="pct"/>
            <w:vAlign w:val="center"/>
          </w:tcPr>
          <w:p w14:paraId="4D9A1109">
            <w:pPr>
              <w:adjustRightInd w:val="0"/>
              <w:snapToGrid w:val="0"/>
              <w:jc w:val="left"/>
              <w:rPr>
                <w:b/>
                <w:sz w:val="24"/>
              </w:rPr>
            </w:pPr>
            <w:r>
              <w:rPr>
                <w:b/>
                <w:sz w:val="24"/>
              </w:rPr>
              <w:t>产地</w:t>
            </w:r>
            <w:r>
              <w:rPr>
                <w:rFonts w:hint="eastAsia"/>
                <w:b/>
                <w:sz w:val="24"/>
              </w:rPr>
              <w:t>/国别</w:t>
            </w:r>
          </w:p>
        </w:tc>
        <w:tc>
          <w:tcPr>
            <w:tcW w:w="471" w:type="pct"/>
            <w:vAlign w:val="center"/>
          </w:tcPr>
          <w:p w14:paraId="7DA513D3">
            <w:pPr>
              <w:adjustRightInd w:val="0"/>
              <w:snapToGrid w:val="0"/>
              <w:jc w:val="left"/>
              <w:rPr>
                <w:b/>
                <w:sz w:val="24"/>
              </w:rPr>
            </w:pPr>
            <w:r>
              <w:rPr>
                <w:b/>
                <w:sz w:val="24"/>
              </w:rPr>
              <w:t>品牌</w:t>
            </w:r>
          </w:p>
        </w:tc>
        <w:tc>
          <w:tcPr>
            <w:tcW w:w="613" w:type="pct"/>
          </w:tcPr>
          <w:p w14:paraId="0A16B5B5">
            <w:pPr>
              <w:adjustRightInd w:val="0"/>
              <w:snapToGrid w:val="0"/>
              <w:jc w:val="left"/>
              <w:rPr>
                <w:b/>
                <w:sz w:val="24"/>
              </w:rPr>
            </w:pPr>
            <w:r>
              <w:rPr>
                <w:b/>
                <w:sz w:val="24"/>
              </w:rPr>
              <w:t>规格、型号</w:t>
            </w:r>
          </w:p>
        </w:tc>
        <w:tc>
          <w:tcPr>
            <w:tcW w:w="632" w:type="pct"/>
            <w:vAlign w:val="center"/>
          </w:tcPr>
          <w:p w14:paraId="39A7CC9B">
            <w:pPr>
              <w:adjustRightInd w:val="0"/>
              <w:snapToGrid w:val="0"/>
              <w:jc w:val="left"/>
              <w:rPr>
                <w:b/>
                <w:sz w:val="24"/>
              </w:rPr>
            </w:pPr>
            <w:r>
              <w:rPr>
                <w:b/>
                <w:sz w:val="24"/>
              </w:rPr>
              <w:t>单价（元）</w:t>
            </w:r>
          </w:p>
        </w:tc>
        <w:tc>
          <w:tcPr>
            <w:tcW w:w="310" w:type="pct"/>
            <w:vAlign w:val="center"/>
          </w:tcPr>
          <w:p w14:paraId="0CA39ADE">
            <w:pPr>
              <w:adjustRightInd w:val="0"/>
              <w:snapToGrid w:val="0"/>
              <w:jc w:val="left"/>
              <w:rPr>
                <w:b/>
                <w:sz w:val="24"/>
              </w:rPr>
            </w:pPr>
            <w:r>
              <w:rPr>
                <w:b/>
                <w:sz w:val="24"/>
              </w:rPr>
              <w:t>数量</w:t>
            </w:r>
          </w:p>
        </w:tc>
        <w:tc>
          <w:tcPr>
            <w:tcW w:w="636" w:type="pct"/>
            <w:vAlign w:val="center"/>
          </w:tcPr>
          <w:p w14:paraId="62DDC717">
            <w:pPr>
              <w:adjustRightInd w:val="0"/>
              <w:snapToGrid w:val="0"/>
              <w:jc w:val="left"/>
              <w:rPr>
                <w:b/>
                <w:sz w:val="24"/>
              </w:rPr>
            </w:pPr>
            <w:r>
              <w:rPr>
                <w:b/>
                <w:sz w:val="24"/>
              </w:rPr>
              <w:t>合价（元）</w:t>
            </w:r>
          </w:p>
        </w:tc>
      </w:tr>
      <w:tr w14:paraId="4749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Align w:val="center"/>
          </w:tcPr>
          <w:p w14:paraId="492AEC5A">
            <w:pPr>
              <w:adjustRightInd w:val="0"/>
              <w:snapToGrid w:val="0"/>
              <w:jc w:val="left"/>
              <w:rPr>
                <w:sz w:val="24"/>
              </w:rPr>
            </w:pPr>
            <w:r>
              <w:rPr>
                <w:sz w:val="24"/>
              </w:rPr>
              <w:t>1</w:t>
            </w:r>
          </w:p>
        </w:tc>
        <w:tc>
          <w:tcPr>
            <w:tcW w:w="1008" w:type="pct"/>
            <w:vAlign w:val="center"/>
          </w:tcPr>
          <w:p w14:paraId="05E0A3A6">
            <w:pPr>
              <w:adjustRightInd w:val="0"/>
              <w:snapToGrid w:val="0"/>
              <w:jc w:val="left"/>
              <w:rPr>
                <w:sz w:val="24"/>
              </w:rPr>
            </w:pPr>
            <w:r>
              <w:rPr>
                <w:rFonts w:hint="eastAsia"/>
                <w:sz w:val="24"/>
              </w:rPr>
              <w:t>大型客车</w:t>
            </w:r>
          </w:p>
        </w:tc>
        <w:tc>
          <w:tcPr>
            <w:tcW w:w="465" w:type="pct"/>
            <w:vAlign w:val="center"/>
          </w:tcPr>
          <w:p w14:paraId="5CA9DAE6">
            <w:pPr>
              <w:adjustRightInd w:val="0"/>
              <w:snapToGrid w:val="0"/>
              <w:jc w:val="left"/>
              <w:rPr>
                <w:sz w:val="24"/>
              </w:rPr>
            </w:pPr>
          </w:p>
        </w:tc>
        <w:tc>
          <w:tcPr>
            <w:tcW w:w="509" w:type="pct"/>
          </w:tcPr>
          <w:p w14:paraId="05C8302C">
            <w:pPr>
              <w:adjustRightInd w:val="0"/>
              <w:snapToGrid w:val="0"/>
              <w:jc w:val="left"/>
              <w:rPr>
                <w:sz w:val="24"/>
              </w:rPr>
            </w:pPr>
          </w:p>
        </w:tc>
        <w:tc>
          <w:tcPr>
            <w:tcW w:w="471" w:type="pct"/>
            <w:vAlign w:val="center"/>
          </w:tcPr>
          <w:p w14:paraId="62C57F56">
            <w:pPr>
              <w:adjustRightInd w:val="0"/>
              <w:snapToGrid w:val="0"/>
              <w:jc w:val="left"/>
              <w:rPr>
                <w:sz w:val="24"/>
              </w:rPr>
            </w:pPr>
          </w:p>
        </w:tc>
        <w:tc>
          <w:tcPr>
            <w:tcW w:w="613" w:type="pct"/>
          </w:tcPr>
          <w:p w14:paraId="471747F0">
            <w:pPr>
              <w:adjustRightInd w:val="0"/>
              <w:snapToGrid w:val="0"/>
              <w:jc w:val="left"/>
              <w:rPr>
                <w:sz w:val="24"/>
              </w:rPr>
            </w:pPr>
          </w:p>
        </w:tc>
        <w:tc>
          <w:tcPr>
            <w:tcW w:w="632" w:type="pct"/>
            <w:vAlign w:val="center"/>
          </w:tcPr>
          <w:p w14:paraId="1BBE3C08">
            <w:pPr>
              <w:adjustRightInd w:val="0"/>
              <w:snapToGrid w:val="0"/>
              <w:jc w:val="left"/>
              <w:rPr>
                <w:sz w:val="24"/>
              </w:rPr>
            </w:pPr>
          </w:p>
        </w:tc>
        <w:tc>
          <w:tcPr>
            <w:tcW w:w="310" w:type="pct"/>
            <w:vAlign w:val="center"/>
          </w:tcPr>
          <w:p w14:paraId="1BFD1E81">
            <w:pPr>
              <w:adjustRightInd w:val="0"/>
              <w:snapToGrid w:val="0"/>
              <w:jc w:val="left"/>
              <w:rPr>
                <w:sz w:val="24"/>
              </w:rPr>
            </w:pPr>
          </w:p>
        </w:tc>
        <w:tc>
          <w:tcPr>
            <w:tcW w:w="636" w:type="pct"/>
            <w:vAlign w:val="center"/>
          </w:tcPr>
          <w:p w14:paraId="6A32E4C4">
            <w:pPr>
              <w:adjustRightInd w:val="0"/>
              <w:snapToGrid w:val="0"/>
              <w:jc w:val="left"/>
              <w:rPr>
                <w:sz w:val="24"/>
              </w:rPr>
            </w:pPr>
          </w:p>
        </w:tc>
      </w:tr>
      <w:tr w14:paraId="000BE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Align w:val="center"/>
          </w:tcPr>
          <w:p w14:paraId="3362B7E0">
            <w:pPr>
              <w:pStyle w:val="190"/>
              <w:ind w:firstLine="0"/>
            </w:pPr>
            <w:r>
              <w:rPr>
                <w:sz w:val="24"/>
              </w:rPr>
              <w:t>2</w:t>
            </w:r>
          </w:p>
        </w:tc>
        <w:tc>
          <w:tcPr>
            <w:tcW w:w="1008" w:type="pct"/>
            <w:vAlign w:val="center"/>
          </w:tcPr>
          <w:p w14:paraId="21F09BBC">
            <w:pPr>
              <w:adjustRightInd w:val="0"/>
              <w:snapToGrid w:val="0"/>
              <w:jc w:val="left"/>
              <w:rPr>
                <w:sz w:val="24"/>
              </w:rPr>
            </w:pPr>
            <w:r>
              <w:rPr>
                <w:sz w:val="24"/>
              </w:rPr>
              <w:t>备品备件</w:t>
            </w:r>
          </w:p>
        </w:tc>
        <w:tc>
          <w:tcPr>
            <w:tcW w:w="465" w:type="pct"/>
            <w:vAlign w:val="center"/>
          </w:tcPr>
          <w:p w14:paraId="759A4AD5">
            <w:pPr>
              <w:adjustRightInd w:val="0"/>
              <w:snapToGrid w:val="0"/>
              <w:jc w:val="left"/>
              <w:rPr>
                <w:sz w:val="24"/>
              </w:rPr>
            </w:pPr>
          </w:p>
        </w:tc>
        <w:tc>
          <w:tcPr>
            <w:tcW w:w="509" w:type="pct"/>
          </w:tcPr>
          <w:p w14:paraId="7F2903A4">
            <w:pPr>
              <w:adjustRightInd w:val="0"/>
              <w:snapToGrid w:val="0"/>
              <w:jc w:val="left"/>
              <w:rPr>
                <w:sz w:val="24"/>
              </w:rPr>
            </w:pPr>
          </w:p>
        </w:tc>
        <w:tc>
          <w:tcPr>
            <w:tcW w:w="471" w:type="pct"/>
            <w:vAlign w:val="center"/>
          </w:tcPr>
          <w:p w14:paraId="3229485E">
            <w:pPr>
              <w:adjustRightInd w:val="0"/>
              <w:snapToGrid w:val="0"/>
              <w:jc w:val="left"/>
              <w:rPr>
                <w:sz w:val="24"/>
              </w:rPr>
            </w:pPr>
          </w:p>
        </w:tc>
        <w:tc>
          <w:tcPr>
            <w:tcW w:w="613" w:type="pct"/>
          </w:tcPr>
          <w:p w14:paraId="55847441">
            <w:pPr>
              <w:adjustRightInd w:val="0"/>
              <w:snapToGrid w:val="0"/>
              <w:jc w:val="left"/>
              <w:rPr>
                <w:sz w:val="24"/>
              </w:rPr>
            </w:pPr>
          </w:p>
        </w:tc>
        <w:tc>
          <w:tcPr>
            <w:tcW w:w="632" w:type="pct"/>
            <w:vAlign w:val="center"/>
          </w:tcPr>
          <w:p w14:paraId="0E950A7C">
            <w:pPr>
              <w:adjustRightInd w:val="0"/>
              <w:snapToGrid w:val="0"/>
              <w:jc w:val="left"/>
              <w:rPr>
                <w:sz w:val="24"/>
              </w:rPr>
            </w:pPr>
          </w:p>
        </w:tc>
        <w:tc>
          <w:tcPr>
            <w:tcW w:w="310" w:type="pct"/>
            <w:vAlign w:val="center"/>
          </w:tcPr>
          <w:p w14:paraId="5F8069D1">
            <w:pPr>
              <w:adjustRightInd w:val="0"/>
              <w:snapToGrid w:val="0"/>
              <w:jc w:val="left"/>
              <w:rPr>
                <w:sz w:val="24"/>
              </w:rPr>
            </w:pPr>
          </w:p>
        </w:tc>
        <w:tc>
          <w:tcPr>
            <w:tcW w:w="636" w:type="pct"/>
            <w:vAlign w:val="center"/>
          </w:tcPr>
          <w:p w14:paraId="5121A6CB">
            <w:pPr>
              <w:adjustRightInd w:val="0"/>
              <w:snapToGrid w:val="0"/>
              <w:jc w:val="left"/>
              <w:rPr>
                <w:sz w:val="24"/>
              </w:rPr>
            </w:pPr>
          </w:p>
        </w:tc>
      </w:tr>
      <w:tr w14:paraId="0F2E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Align w:val="center"/>
          </w:tcPr>
          <w:p w14:paraId="15481DC2">
            <w:pPr>
              <w:adjustRightInd w:val="0"/>
              <w:snapToGrid w:val="0"/>
              <w:jc w:val="left"/>
              <w:rPr>
                <w:sz w:val="24"/>
              </w:rPr>
            </w:pPr>
            <w:r>
              <w:rPr>
                <w:sz w:val="24"/>
              </w:rPr>
              <w:t>3</w:t>
            </w:r>
          </w:p>
        </w:tc>
        <w:tc>
          <w:tcPr>
            <w:tcW w:w="1008" w:type="pct"/>
            <w:vAlign w:val="center"/>
          </w:tcPr>
          <w:p w14:paraId="21BA0450">
            <w:pPr>
              <w:adjustRightInd w:val="0"/>
              <w:snapToGrid w:val="0"/>
              <w:jc w:val="left"/>
              <w:rPr>
                <w:sz w:val="24"/>
              </w:rPr>
            </w:pPr>
            <w:r>
              <w:rPr>
                <w:sz w:val="24"/>
              </w:rPr>
              <w:t>专用工具</w:t>
            </w:r>
          </w:p>
        </w:tc>
        <w:tc>
          <w:tcPr>
            <w:tcW w:w="465" w:type="pct"/>
            <w:vAlign w:val="center"/>
          </w:tcPr>
          <w:p w14:paraId="741B8AA9">
            <w:pPr>
              <w:adjustRightInd w:val="0"/>
              <w:snapToGrid w:val="0"/>
              <w:jc w:val="left"/>
              <w:rPr>
                <w:sz w:val="24"/>
              </w:rPr>
            </w:pPr>
          </w:p>
        </w:tc>
        <w:tc>
          <w:tcPr>
            <w:tcW w:w="509" w:type="pct"/>
          </w:tcPr>
          <w:p w14:paraId="0F67E49E">
            <w:pPr>
              <w:adjustRightInd w:val="0"/>
              <w:snapToGrid w:val="0"/>
              <w:jc w:val="left"/>
              <w:rPr>
                <w:sz w:val="24"/>
              </w:rPr>
            </w:pPr>
          </w:p>
        </w:tc>
        <w:tc>
          <w:tcPr>
            <w:tcW w:w="471" w:type="pct"/>
            <w:vAlign w:val="center"/>
          </w:tcPr>
          <w:p w14:paraId="2F046C37">
            <w:pPr>
              <w:adjustRightInd w:val="0"/>
              <w:snapToGrid w:val="0"/>
              <w:jc w:val="left"/>
              <w:rPr>
                <w:sz w:val="24"/>
              </w:rPr>
            </w:pPr>
          </w:p>
        </w:tc>
        <w:tc>
          <w:tcPr>
            <w:tcW w:w="613" w:type="pct"/>
          </w:tcPr>
          <w:p w14:paraId="4A320D46">
            <w:pPr>
              <w:adjustRightInd w:val="0"/>
              <w:snapToGrid w:val="0"/>
              <w:jc w:val="left"/>
              <w:rPr>
                <w:sz w:val="24"/>
              </w:rPr>
            </w:pPr>
          </w:p>
        </w:tc>
        <w:tc>
          <w:tcPr>
            <w:tcW w:w="632" w:type="pct"/>
            <w:vAlign w:val="center"/>
          </w:tcPr>
          <w:p w14:paraId="04B72C3C">
            <w:pPr>
              <w:adjustRightInd w:val="0"/>
              <w:snapToGrid w:val="0"/>
              <w:jc w:val="left"/>
              <w:rPr>
                <w:sz w:val="24"/>
              </w:rPr>
            </w:pPr>
          </w:p>
        </w:tc>
        <w:tc>
          <w:tcPr>
            <w:tcW w:w="310" w:type="pct"/>
            <w:vAlign w:val="center"/>
          </w:tcPr>
          <w:p w14:paraId="0AA58415">
            <w:pPr>
              <w:adjustRightInd w:val="0"/>
              <w:snapToGrid w:val="0"/>
              <w:jc w:val="left"/>
              <w:rPr>
                <w:sz w:val="24"/>
              </w:rPr>
            </w:pPr>
          </w:p>
        </w:tc>
        <w:tc>
          <w:tcPr>
            <w:tcW w:w="636" w:type="pct"/>
            <w:vAlign w:val="center"/>
          </w:tcPr>
          <w:p w14:paraId="626E722C">
            <w:pPr>
              <w:adjustRightInd w:val="0"/>
              <w:snapToGrid w:val="0"/>
              <w:jc w:val="left"/>
              <w:rPr>
                <w:sz w:val="24"/>
              </w:rPr>
            </w:pPr>
          </w:p>
        </w:tc>
      </w:tr>
      <w:tr w14:paraId="5D96D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Align w:val="center"/>
          </w:tcPr>
          <w:p w14:paraId="5E2B1A08">
            <w:pPr>
              <w:adjustRightInd w:val="0"/>
              <w:snapToGrid w:val="0"/>
              <w:jc w:val="left"/>
              <w:rPr>
                <w:sz w:val="24"/>
              </w:rPr>
            </w:pPr>
            <w:r>
              <w:rPr>
                <w:sz w:val="24"/>
              </w:rPr>
              <w:t>4</w:t>
            </w:r>
          </w:p>
        </w:tc>
        <w:tc>
          <w:tcPr>
            <w:tcW w:w="1008" w:type="pct"/>
            <w:vAlign w:val="center"/>
          </w:tcPr>
          <w:p w14:paraId="489C58B2">
            <w:pPr>
              <w:adjustRightInd w:val="0"/>
              <w:snapToGrid w:val="0"/>
              <w:jc w:val="left"/>
              <w:rPr>
                <w:sz w:val="24"/>
              </w:rPr>
            </w:pPr>
            <w:r>
              <w:rPr>
                <w:sz w:val="24"/>
              </w:rPr>
              <w:t>安装、调试、检验</w:t>
            </w:r>
          </w:p>
        </w:tc>
        <w:tc>
          <w:tcPr>
            <w:tcW w:w="465" w:type="pct"/>
            <w:vAlign w:val="center"/>
          </w:tcPr>
          <w:p w14:paraId="7EF6B58C">
            <w:pPr>
              <w:adjustRightInd w:val="0"/>
              <w:snapToGrid w:val="0"/>
              <w:jc w:val="left"/>
              <w:rPr>
                <w:sz w:val="24"/>
              </w:rPr>
            </w:pPr>
          </w:p>
        </w:tc>
        <w:tc>
          <w:tcPr>
            <w:tcW w:w="509" w:type="pct"/>
          </w:tcPr>
          <w:p w14:paraId="7168C224">
            <w:pPr>
              <w:adjustRightInd w:val="0"/>
              <w:snapToGrid w:val="0"/>
              <w:jc w:val="left"/>
              <w:rPr>
                <w:sz w:val="24"/>
              </w:rPr>
            </w:pPr>
          </w:p>
        </w:tc>
        <w:tc>
          <w:tcPr>
            <w:tcW w:w="471" w:type="pct"/>
            <w:vAlign w:val="center"/>
          </w:tcPr>
          <w:p w14:paraId="018A435C">
            <w:pPr>
              <w:adjustRightInd w:val="0"/>
              <w:snapToGrid w:val="0"/>
              <w:jc w:val="left"/>
              <w:rPr>
                <w:sz w:val="24"/>
              </w:rPr>
            </w:pPr>
          </w:p>
        </w:tc>
        <w:tc>
          <w:tcPr>
            <w:tcW w:w="613" w:type="pct"/>
          </w:tcPr>
          <w:p w14:paraId="59E93BDE">
            <w:pPr>
              <w:adjustRightInd w:val="0"/>
              <w:snapToGrid w:val="0"/>
              <w:jc w:val="left"/>
              <w:rPr>
                <w:sz w:val="24"/>
              </w:rPr>
            </w:pPr>
          </w:p>
        </w:tc>
        <w:tc>
          <w:tcPr>
            <w:tcW w:w="632" w:type="pct"/>
            <w:vAlign w:val="center"/>
          </w:tcPr>
          <w:p w14:paraId="383A0DE8">
            <w:pPr>
              <w:adjustRightInd w:val="0"/>
              <w:snapToGrid w:val="0"/>
              <w:jc w:val="left"/>
              <w:rPr>
                <w:sz w:val="24"/>
              </w:rPr>
            </w:pPr>
          </w:p>
        </w:tc>
        <w:tc>
          <w:tcPr>
            <w:tcW w:w="310" w:type="pct"/>
            <w:vAlign w:val="center"/>
          </w:tcPr>
          <w:p w14:paraId="5A6E365E">
            <w:pPr>
              <w:adjustRightInd w:val="0"/>
              <w:snapToGrid w:val="0"/>
              <w:jc w:val="left"/>
              <w:rPr>
                <w:sz w:val="24"/>
              </w:rPr>
            </w:pPr>
          </w:p>
        </w:tc>
        <w:tc>
          <w:tcPr>
            <w:tcW w:w="636" w:type="pct"/>
            <w:vAlign w:val="center"/>
          </w:tcPr>
          <w:p w14:paraId="1D23C80F">
            <w:pPr>
              <w:adjustRightInd w:val="0"/>
              <w:snapToGrid w:val="0"/>
              <w:jc w:val="left"/>
              <w:rPr>
                <w:sz w:val="24"/>
              </w:rPr>
            </w:pPr>
          </w:p>
        </w:tc>
      </w:tr>
      <w:tr w14:paraId="51BEC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Align w:val="center"/>
          </w:tcPr>
          <w:p w14:paraId="1E062CDD">
            <w:pPr>
              <w:adjustRightInd w:val="0"/>
              <w:snapToGrid w:val="0"/>
              <w:jc w:val="left"/>
              <w:rPr>
                <w:sz w:val="24"/>
              </w:rPr>
            </w:pPr>
            <w:r>
              <w:rPr>
                <w:sz w:val="24"/>
              </w:rPr>
              <w:t>5</w:t>
            </w:r>
          </w:p>
        </w:tc>
        <w:tc>
          <w:tcPr>
            <w:tcW w:w="1008" w:type="pct"/>
            <w:vAlign w:val="center"/>
          </w:tcPr>
          <w:p w14:paraId="2C34F25D">
            <w:pPr>
              <w:adjustRightInd w:val="0"/>
              <w:snapToGrid w:val="0"/>
              <w:jc w:val="left"/>
              <w:rPr>
                <w:sz w:val="24"/>
              </w:rPr>
            </w:pPr>
            <w:r>
              <w:rPr>
                <w:sz w:val="24"/>
              </w:rPr>
              <w:t>培训</w:t>
            </w:r>
          </w:p>
        </w:tc>
        <w:tc>
          <w:tcPr>
            <w:tcW w:w="465" w:type="pct"/>
            <w:vAlign w:val="center"/>
          </w:tcPr>
          <w:p w14:paraId="13B79635">
            <w:pPr>
              <w:adjustRightInd w:val="0"/>
              <w:snapToGrid w:val="0"/>
              <w:jc w:val="left"/>
              <w:rPr>
                <w:sz w:val="24"/>
              </w:rPr>
            </w:pPr>
          </w:p>
        </w:tc>
        <w:tc>
          <w:tcPr>
            <w:tcW w:w="509" w:type="pct"/>
          </w:tcPr>
          <w:p w14:paraId="29E7B10D">
            <w:pPr>
              <w:adjustRightInd w:val="0"/>
              <w:snapToGrid w:val="0"/>
              <w:jc w:val="left"/>
              <w:rPr>
                <w:sz w:val="24"/>
              </w:rPr>
            </w:pPr>
          </w:p>
        </w:tc>
        <w:tc>
          <w:tcPr>
            <w:tcW w:w="471" w:type="pct"/>
            <w:vAlign w:val="center"/>
          </w:tcPr>
          <w:p w14:paraId="67C41502">
            <w:pPr>
              <w:adjustRightInd w:val="0"/>
              <w:snapToGrid w:val="0"/>
              <w:jc w:val="left"/>
              <w:rPr>
                <w:sz w:val="24"/>
              </w:rPr>
            </w:pPr>
          </w:p>
        </w:tc>
        <w:tc>
          <w:tcPr>
            <w:tcW w:w="613" w:type="pct"/>
          </w:tcPr>
          <w:p w14:paraId="14B1DE55">
            <w:pPr>
              <w:adjustRightInd w:val="0"/>
              <w:snapToGrid w:val="0"/>
              <w:jc w:val="left"/>
              <w:rPr>
                <w:sz w:val="24"/>
              </w:rPr>
            </w:pPr>
          </w:p>
        </w:tc>
        <w:tc>
          <w:tcPr>
            <w:tcW w:w="632" w:type="pct"/>
            <w:vAlign w:val="center"/>
          </w:tcPr>
          <w:p w14:paraId="6F95A3CE">
            <w:pPr>
              <w:adjustRightInd w:val="0"/>
              <w:snapToGrid w:val="0"/>
              <w:jc w:val="left"/>
              <w:rPr>
                <w:sz w:val="24"/>
              </w:rPr>
            </w:pPr>
          </w:p>
        </w:tc>
        <w:tc>
          <w:tcPr>
            <w:tcW w:w="310" w:type="pct"/>
            <w:vAlign w:val="center"/>
          </w:tcPr>
          <w:p w14:paraId="65838759">
            <w:pPr>
              <w:adjustRightInd w:val="0"/>
              <w:snapToGrid w:val="0"/>
              <w:jc w:val="left"/>
              <w:rPr>
                <w:sz w:val="24"/>
              </w:rPr>
            </w:pPr>
          </w:p>
        </w:tc>
        <w:tc>
          <w:tcPr>
            <w:tcW w:w="636" w:type="pct"/>
            <w:vAlign w:val="center"/>
          </w:tcPr>
          <w:p w14:paraId="72D24B1B">
            <w:pPr>
              <w:adjustRightInd w:val="0"/>
              <w:snapToGrid w:val="0"/>
              <w:jc w:val="left"/>
              <w:rPr>
                <w:sz w:val="24"/>
              </w:rPr>
            </w:pPr>
          </w:p>
        </w:tc>
      </w:tr>
      <w:tr w14:paraId="6E85A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Align w:val="center"/>
          </w:tcPr>
          <w:p w14:paraId="139F6992">
            <w:pPr>
              <w:adjustRightInd w:val="0"/>
              <w:snapToGrid w:val="0"/>
              <w:jc w:val="left"/>
              <w:rPr>
                <w:sz w:val="24"/>
              </w:rPr>
            </w:pPr>
            <w:r>
              <w:rPr>
                <w:sz w:val="24"/>
              </w:rPr>
              <w:t>6</w:t>
            </w:r>
          </w:p>
        </w:tc>
        <w:tc>
          <w:tcPr>
            <w:tcW w:w="1008" w:type="pct"/>
            <w:vAlign w:val="center"/>
          </w:tcPr>
          <w:p w14:paraId="23B36ACB">
            <w:pPr>
              <w:adjustRightInd w:val="0"/>
              <w:snapToGrid w:val="0"/>
              <w:jc w:val="left"/>
              <w:rPr>
                <w:sz w:val="24"/>
              </w:rPr>
            </w:pPr>
            <w:r>
              <w:rPr>
                <w:sz w:val="24"/>
              </w:rPr>
              <w:t>售后服务</w:t>
            </w:r>
          </w:p>
        </w:tc>
        <w:tc>
          <w:tcPr>
            <w:tcW w:w="465" w:type="pct"/>
            <w:vAlign w:val="center"/>
          </w:tcPr>
          <w:p w14:paraId="129A2ED1">
            <w:pPr>
              <w:adjustRightInd w:val="0"/>
              <w:snapToGrid w:val="0"/>
              <w:jc w:val="left"/>
              <w:rPr>
                <w:sz w:val="24"/>
              </w:rPr>
            </w:pPr>
          </w:p>
        </w:tc>
        <w:tc>
          <w:tcPr>
            <w:tcW w:w="509" w:type="pct"/>
          </w:tcPr>
          <w:p w14:paraId="0BCF81B4">
            <w:pPr>
              <w:adjustRightInd w:val="0"/>
              <w:snapToGrid w:val="0"/>
              <w:jc w:val="left"/>
              <w:rPr>
                <w:sz w:val="24"/>
              </w:rPr>
            </w:pPr>
          </w:p>
        </w:tc>
        <w:tc>
          <w:tcPr>
            <w:tcW w:w="471" w:type="pct"/>
            <w:vAlign w:val="center"/>
          </w:tcPr>
          <w:p w14:paraId="06AE92B7">
            <w:pPr>
              <w:adjustRightInd w:val="0"/>
              <w:snapToGrid w:val="0"/>
              <w:jc w:val="left"/>
              <w:rPr>
                <w:sz w:val="24"/>
              </w:rPr>
            </w:pPr>
          </w:p>
        </w:tc>
        <w:tc>
          <w:tcPr>
            <w:tcW w:w="613" w:type="pct"/>
          </w:tcPr>
          <w:p w14:paraId="2B1EF1DC">
            <w:pPr>
              <w:adjustRightInd w:val="0"/>
              <w:snapToGrid w:val="0"/>
              <w:jc w:val="left"/>
              <w:rPr>
                <w:sz w:val="24"/>
              </w:rPr>
            </w:pPr>
          </w:p>
        </w:tc>
        <w:tc>
          <w:tcPr>
            <w:tcW w:w="632" w:type="pct"/>
            <w:vAlign w:val="center"/>
          </w:tcPr>
          <w:p w14:paraId="65D128C5">
            <w:pPr>
              <w:adjustRightInd w:val="0"/>
              <w:snapToGrid w:val="0"/>
              <w:jc w:val="left"/>
              <w:rPr>
                <w:sz w:val="24"/>
              </w:rPr>
            </w:pPr>
          </w:p>
        </w:tc>
        <w:tc>
          <w:tcPr>
            <w:tcW w:w="310" w:type="pct"/>
            <w:vAlign w:val="center"/>
          </w:tcPr>
          <w:p w14:paraId="273EC061">
            <w:pPr>
              <w:adjustRightInd w:val="0"/>
              <w:snapToGrid w:val="0"/>
              <w:jc w:val="left"/>
              <w:rPr>
                <w:sz w:val="24"/>
              </w:rPr>
            </w:pPr>
          </w:p>
        </w:tc>
        <w:tc>
          <w:tcPr>
            <w:tcW w:w="636" w:type="pct"/>
            <w:vAlign w:val="center"/>
          </w:tcPr>
          <w:p w14:paraId="584CE9D4">
            <w:pPr>
              <w:adjustRightInd w:val="0"/>
              <w:snapToGrid w:val="0"/>
              <w:jc w:val="left"/>
              <w:rPr>
                <w:sz w:val="24"/>
              </w:rPr>
            </w:pPr>
          </w:p>
        </w:tc>
      </w:tr>
      <w:tr w14:paraId="3D86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Align w:val="center"/>
          </w:tcPr>
          <w:p w14:paraId="42FDE73E">
            <w:pPr>
              <w:adjustRightInd w:val="0"/>
              <w:snapToGrid w:val="0"/>
              <w:jc w:val="left"/>
              <w:rPr>
                <w:sz w:val="24"/>
              </w:rPr>
            </w:pPr>
            <w:r>
              <w:rPr>
                <w:sz w:val="24"/>
              </w:rPr>
              <w:t>7</w:t>
            </w:r>
          </w:p>
        </w:tc>
        <w:tc>
          <w:tcPr>
            <w:tcW w:w="1008" w:type="pct"/>
            <w:vAlign w:val="center"/>
          </w:tcPr>
          <w:p w14:paraId="6EAC6A35">
            <w:pPr>
              <w:adjustRightInd w:val="0"/>
              <w:snapToGrid w:val="0"/>
              <w:jc w:val="left"/>
              <w:rPr>
                <w:sz w:val="24"/>
              </w:rPr>
            </w:pPr>
            <w:r>
              <w:rPr>
                <w:sz w:val="24"/>
              </w:rPr>
              <w:t>其他</w:t>
            </w:r>
          </w:p>
        </w:tc>
        <w:tc>
          <w:tcPr>
            <w:tcW w:w="465" w:type="pct"/>
            <w:vAlign w:val="center"/>
          </w:tcPr>
          <w:p w14:paraId="7AEA3715">
            <w:pPr>
              <w:adjustRightInd w:val="0"/>
              <w:snapToGrid w:val="0"/>
              <w:jc w:val="left"/>
              <w:rPr>
                <w:sz w:val="24"/>
              </w:rPr>
            </w:pPr>
          </w:p>
        </w:tc>
        <w:tc>
          <w:tcPr>
            <w:tcW w:w="509" w:type="pct"/>
          </w:tcPr>
          <w:p w14:paraId="1E6E3214">
            <w:pPr>
              <w:adjustRightInd w:val="0"/>
              <w:snapToGrid w:val="0"/>
              <w:jc w:val="left"/>
              <w:rPr>
                <w:sz w:val="24"/>
              </w:rPr>
            </w:pPr>
          </w:p>
        </w:tc>
        <w:tc>
          <w:tcPr>
            <w:tcW w:w="471" w:type="pct"/>
            <w:vAlign w:val="center"/>
          </w:tcPr>
          <w:p w14:paraId="58DB20B3">
            <w:pPr>
              <w:adjustRightInd w:val="0"/>
              <w:snapToGrid w:val="0"/>
              <w:jc w:val="left"/>
              <w:rPr>
                <w:sz w:val="24"/>
              </w:rPr>
            </w:pPr>
          </w:p>
        </w:tc>
        <w:tc>
          <w:tcPr>
            <w:tcW w:w="613" w:type="pct"/>
          </w:tcPr>
          <w:p w14:paraId="30F823C8">
            <w:pPr>
              <w:adjustRightInd w:val="0"/>
              <w:snapToGrid w:val="0"/>
              <w:jc w:val="left"/>
              <w:rPr>
                <w:sz w:val="24"/>
              </w:rPr>
            </w:pPr>
          </w:p>
        </w:tc>
        <w:tc>
          <w:tcPr>
            <w:tcW w:w="632" w:type="pct"/>
            <w:vAlign w:val="center"/>
          </w:tcPr>
          <w:p w14:paraId="7600556D">
            <w:pPr>
              <w:adjustRightInd w:val="0"/>
              <w:snapToGrid w:val="0"/>
              <w:jc w:val="left"/>
              <w:rPr>
                <w:sz w:val="24"/>
              </w:rPr>
            </w:pPr>
          </w:p>
        </w:tc>
        <w:tc>
          <w:tcPr>
            <w:tcW w:w="310" w:type="pct"/>
            <w:vAlign w:val="center"/>
          </w:tcPr>
          <w:p w14:paraId="02D3A905">
            <w:pPr>
              <w:adjustRightInd w:val="0"/>
              <w:snapToGrid w:val="0"/>
              <w:jc w:val="left"/>
              <w:rPr>
                <w:sz w:val="24"/>
              </w:rPr>
            </w:pPr>
          </w:p>
        </w:tc>
        <w:tc>
          <w:tcPr>
            <w:tcW w:w="636" w:type="pct"/>
            <w:vAlign w:val="center"/>
          </w:tcPr>
          <w:p w14:paraId="77628805">
            <w:pPr>
              <w:adjustRightInd w:val="0"/>
              <w:snapToGrid w:val="0"/>
              <w:jc w:val="left"/>
              <w:rPr>
                <w:sz w:val="24"/>
              </w:rPr>
            </w:pPr>
          </w:p>
        </w:tc>
      </w:tr>
      <w:tr w14:paraId="60B9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vAlign w:val="center"/>
          </w:tcPr>
          <w:p w14:paraId="47B084CD">
            <w:pPr>
              <w:adjustRightInd w:val="0"/>
              <w:snapToGrid w:val="0"/>
              <w:jc w:val="left"/>
              <w:rPr>
                <w:sz w:val="24"/>
              </w:rPr>
            </w:pPr>
            <w:r>
              <w:rPr>
                <w:sz w:val="24"/>
              </w:rPr>
              <w:t>8</w:t>
            </w:r>
          </w:p>
        </w:tc>
        <w:tc>
          <w:tcPr>
            <w:tcW w:w="1008" w:type="pct"/>
            <w:vAlign w:val="center"/>
          </w:tcPr>
          <w:p w14:paraId="4FA60D5C">
            <w:pPr>
              <w:adjustRightInd w:val="0"/>
              <w:snapToGrid w:val="0"/>
              <w:jc w:val="left"/>
              <w:rPr>
                <w:sz w:val="24"/>
              </w:rPr>
            </w:pPr>
            <w:r>
              <w:rPr>
                <w:sz w:val="24"/>
              </w:rPr>
              <w:t>至最终目的地运保费</w:t>
            </w:r>
          </w:p>
        </w:tc>
        <w:tc>
          <w:tcPr>
            <w:tcW w:w="465" w:type="pct"/>
            <w:vAlign w:val="center"/>
          </w:tcPr>
          <w:p w14:paraId="2B4217CE">
            <w:pPr>
              <w:adjustRightInd w:val="0"/>
              <w:snapToGrid w:val="0"/>
              <w:jc w:val="left"/>
              <w:rPr>
                <w:sz w:val="24"/>
              </w:rPr>
            </w:pPr>
          </w:p>
        </w:tc>
        <w:tc>
          <w:tcPr>
            <w:tcW w:w="509" w:type="pct"/>
          </w:tcPr>
          <w:p w14:paraId="580A726D">
            <w:pPr>
              <w:adjustRightInd w:val="0"/>
              <w:snapToGrid w:val="0"/>
              <w:jc w:val="left"/>
              <w:rPr>
                <w:sz w:val="24"/>
              </w:rPr>
            </w:pPr>
          </w:p>
        </w:tc>
        <w:tc>
          <w:tcPr>
            <w:tcW w:w="471" w:type="pct"/>
            <w:vAlign w:val="center"/>
          </w:tcPr>
          <w:p w14:paraId="17FEF308">
            <w:pPr>
              <w:adjustRightInd w:val="0"/>
              <w:snapToGrid w:val="0"/>
              <w:jc w:val="left"/>
              <w:rPr>
                <w:sz w:val="24"/>
              </w:rPr>
            </w:pPr>
          </w:p>
        </w:tc>
        <w:tc>
          <w:tcPr>
            <w:tcW w:w="613" w:type="pct"/>
          </w:tcPr>
          <w:p w14:paraId="0DEA2DF4">
            <w:pPr>
              <w:adjustRightInd w:val="0"/>
              <w:snapToGrid w:val="0"/>
              <w:jc w:val="left"/>
              <w:rPr>
                <w:sz w:val="24"/>
              </w:rPr>
            </w:pPr>
          </w:p>
        </w:tc>
        <w:tc>
          <w:tcPr>
            <w:tcW w:w="632" w:type="pct"/>
            <w:vAlign w:val="center"/>
          </w:tcPr>
          <w:p w14:paraId="16E6A5B7">
            <w:pPr>
              <w:adjustRightInd w:val="0"/>
              <w:snapToGrid w:val="0"/>
              <w:jc w:val="left"/>
              <w:rPr>
                <w:sz w:val="24"/>
              </w:rPr>
            </w:pPr>
          </w:p>
        </w:tc>
        <w:tc>
          <w:tcPr>
            <w:tcW w:w="310" w:type="pct"/>
            <w:vAlign w:val="center"/>
          </w:tcPr>
          <w:p w14:paraId="4E48F372">
            <w:pPr>
              <w:adjustRightInd w:val="0"/>
              <w:snapToGrid w:val="0"/>
              <w:jc w:val="left"/>
              <w:rPr>
                <w:sz w:val="24"/>
              </w:rPr>
            </w:pPr>
          </w:p>
        </w:tc>
        <w:tc>
          <w:tcPr>
            <w:tcW w:w="636" w:type="pct"/>
            <w:vAlign w:val="center"/>
          </w:tcPr>
          <w:p w14:paraId="458518DB">
            <w:pPr>
              <w:adjustRightInd w:val="0"/>
              <w:snapToGrid w:val="0"/>
              <w:jc w:val="left"/>
              <w:rPr>
                <w:sz w:val="24"/>
              </w:rPr>
            </w:pPr>
          </w:p>
        </w:tc>
      </w:tr>
      <w:tr w14:paraId="1CBFC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3" w:type="pct"/>
            <w:gridSpan w:val="8"/>
            <w:vAlign w:val="center"/>
          </w:tcPr>
          <w:p w14:paraId="06606E37">
            <w:pPr>
              <w:adjustRightInd w:val="0"/>
              <w:snapToGrid w:val="0"/>
              <w:jc w:val="right"/>
              <w:rPr>
                <w:sz w:val="24"/>
              </w:rPr>
            </w:pPr>
            <w:r>
              <w:rPr>
                <w:rFonts w:hint="eastAsia"/>
                <w:sz w:val="24"/>
              </w:rPr>
              <w:t>总价（元）</w:t>
            </w:r>
          </w:p>
        </w:tc>
        <w:tc>
          <w:tcPr>
            <w:tcW w:w="636" w:type="pct"/>
            <w:vAlign w:val="center"/>
          </w:tcPr>
          <w:p w14:paraId="1AA1A30B">
            <w:pPr>
              <w:adjustRightInd w:val="0"/>
              <w:snapToGrid w:val="0"/>
              <w:jc w:val="left"/>
              <w:rPr>
                <w:sz w:val="24"/>
              </w:rPr>
            </w:pPr>
          </w:p>
        </w:tc>
      </w:tr>
      <w:bookmarkEnd w:id="64"/>
    </w:tbl>
    <w:p w14:paraId="003764F8">
      <w:pPr>
        <w:spacing w:before="240" w:line="360" w:lineRule="auto"/>
        <w:ind w:left="-120"/>
        <w:rPr>
          <w:rFonts w:ascii="宋体" w:hAnsi="宋体"/>
          <w:color w:val="000000"/>
          <w:sz w:val="24"/>
          <w:szCs w:val="24"/>
        </w:rPr>
      </w:pPr>
      <w:r>
        <w:rPr>
          <w:rFonts w:hint="eastAsia" w:ascii="宋体" w:hAnsi="宋体"/>
          <w:color w:val="000000"/>
          <w:sz w:val="24"/>
          <w:szCs w:val="24"/>
        </w:rPr>
        <w:t>投标人代表签字</w:t>
      </w:r>
      <w:r>
        <w:rPr>
          <w:rFonts w:hint="eastAsia" w:ascii="宋体" w:hAnsi="宋体"/>
          <w:color w:val="000000"/>
          <w:sz w:val="24"/>
          <w:szCs w:val="24"/>
          <w:u w:val="single"/>
        </w:rPr>
        <w:t xml:space="preserve">                              </w:t>
      </w:r>
    </w:p>
    <w:p w14:paraId="68292953">
      <w:pPr>
        <w:spacing w:line="360" w:lineRule="auto"/>
        <w:ind w:hanging="120"/>
        <w:rPr>
          <w:rFonts w:ascii="宋体" w:hAnsi="宋体"/>
          <w:color w:val="000000"/>
          <w:sz w:val="24"/>
          <w:szCs w:val="24"/>
        </w:rPr>
      </w:pPr>
      <w:r>
        <w:rPr>
          <w:rFonts w:hint="eastAsia" w:ascii="宋体" w:hAnsi="宋体"/>
          <w:color w:val="000000"/>
          <w:sz w:val="24"/>
          <w:szCs w:val="24"/>
        </w:rPr>
        <w:t>注：1.如果按单价计算的结果与总价不一致，以单价为准修正总价。</w:t>
      </w:r>
    </w:p>
    <w:p w14:paraId="0E234DF1">
      <w:pPr>
        <w:spacing w:line="360" w:lineRule="auto"/>
        <w:ind w:firstLine="241" w:firstLineChars="100"/>
        <w:rPr>
          <w:rFonts w:ascii="宋体" w:hAnsi="宋体"/>
          <w:b/>
          <w:bCs/>
          <w:color w:val="000000"/>
          <w:sz w:val="24"/>
          <w:szCs w:val="24"/>
        </w:rPr>
      </w:pPr>
      <w:r>
        <w:rPr>
          <w:rFonts w:ascii="宋体" w:hAnsi="宋体"/>
          <w:b/>
          <w:bCs/>
          <w:color w:val="000000"/>
          <w:sz w:val="24"/>
          <w:szCs w:val="24"/>
        </w:rPr>
        <w:t>2</w:t>
      </w:r>
      <w:r>
        <w:rPr>
          <w:rFonts w:hint="eastAsia" w:ascii="宋体" w:hAnsi="宋体"/>
          <w:b/>
          <w:bCs/>
          <w:color w:val="000000"/>
          <w:sz w:val="24"/>
          <w:szCs w:val="24"/>
        </w:rPr>
        <w:t xml:space="preserve">.本表应后附车辆详细配置清单，至少列明主要配件的品牌、规格型号。  </w:t>
      </w:r>
      <w:r>
        <w:rPr>
          <w:rFonts w:ascii="宋体" w:hAnsi="宋体"/>
          <w:b/>
          <w:bCs/>
          <w:color w:val="000000"/>
          <w:sz w:val="24"/>
          <w:szCs w:val="24"/>
        </w:rPr>
        <w:t xml:space="preserve">   </w:t>
      </w:r>
    </w:p>
    <w:p w14:paraId="5868B451">
      <w:pPr>
        <w:spacing w:line="360" w:lineRule="auto"/>
        <w:ind w:firstLine="240" w:firstLineChars="100"/>
        <w:rPr>
          <w:rFonts w:ascii="宋体" w:hAnsi="宋体"/>
          <w:i/>
          <w:color w:val="000000"/>
          <w:sz w:val="24"/>
          <w:szCs w:val="24"/>
        </w:rPr>
      </w:pPr>
      <w:r>
        <w:rPr>
          <w:rFonts w:ascii="宋体" w:hAnsi="宋体"/>
          <w:color w:val="000000"/>
          <w:sz w:val="24"/>
          <w:szCs w:val="24"/>
        </w:rPr>
        <w:t>3</w:t>
      </w:r>
      <w:r>
        <w:rPr>
          <w:rFonts w:hint="eastAsia" w:ascii="宋体" w:hAnsi="宋体"/>
          <w:color w:val="000000"/>
          <w:sz w:val="24"/>
          <w:szCs w:val="24"/>
        </w:rPr>
        <w:t>.以上费用表格如不能完全表达清楚投标人认为必要的费用明细，投标人可自行补充。</w:t>
      </w:r>
    </w:p>
    <w:p w14:paraId="014807A2">
      <w:pPr>
        <w:numPr>
          <w:ilvl w:val="0"/>
          <w:numId w:val="15"/>
        </w:numPr>
        <w:spacing w:line="360" w:lineRule="auto"/>
        <w:jc w:val="center"/>
        <w:rPr>
          <w:rFonts w:ascii="宋体" w:hAnsi="宋体"/>
          <w:b/>
          <w:color w:val="000000"/>
          <w:sz w:val="24"/>
          <w:szCs w:val="24"/>
        </w:rPr>
        <w:sectPr>
          <w:pgSz w:w="16838" w:h="11906" w:orient="landscape"/>
          <w:pgMar w:top="1797" w:right="1440" w:bottom="1797" w:left="1440" w:header="851" w:footer="992" w:gutter="0"/>
          <w:cols w:space="720" w:num="1"/>
          <w:docGrid w:linePitch="326" w:charSpace="0"/>
        </w:sectPr>
      </w:pPr>
    </w:p>
    <w:p w14:paraId="2C733822">
      <w:pPr>
        <w:pStyle w:val="3"/>
        <w:rPr>
          <w:rFonts w:ascii="宋体" w:hAnsi="宋体" w:eastAsia="宋体"/>
          <w:color w:val="000000"/>
          <w:sz w:val="24"/>
          <w:szCs w:val="24"/>
        </w:rPr>
      </w:pPr>
      <w:bookmarkStart w:id="65" w:name="_Toc73427854"/>
      <w:r>
        <w:rPr>
          <w:rFonts w:hint="eastAsia" w:ascii="宋体" w:hAnsi="宋体" w:eastAsia="宋体"/>
          <w:color w:val="000000"/>
          <w:sz w:val="24"/>
          <w:szCs w:val="24"/>
        </w:rPr>
        <w:t>附件4．技术规格偏离表</w:t>
      </w:r>
      <w:bookmarkEnd w:id="65"/>
    </w:p>
    <w:p w14:paraId="5B3D4924">
      <w:pPr>
        <w:spacing w:after="240" w:line="360" w:lineRule="auto"/>
        <w:ind w:hanging="119"/>
        <w:rPr>
          <w:rFonts w:ascii="宋体" w:hAnsi="宋体"/>
          <w:color w:val="000000"/>
          <w:sz w:val="24"/>
          <w:szCs w:val="24"/>
          <w:u w:val="single"/>
        </w:rPr>
      </w:pPr>
      <w:r>
        <w:rPr>
          <w:rFonts w:hint="eastAsia" w:ascii="宋体" w:hAnsi="宋体"/>
          <w:color w:val="000000"/>
          <w:sz w:val="24"/>
          <w:szCs w:val="24"/>
        </w:rPr>
        <w:t>投标人名称：</w:t>
      </w:r>
      <w:r>
        <w:rPr>
          <w:rFonts w:hint="eastAsia" w:ascii="宋体" w:hAnsi="宋体"/>
          <w:color w:val="000000"/>
          <w:sz w:val="24"/>
          <w:szCs w:val="24"/>
          <w:u w:val="single"/>
        </w:rPr>
        <w:t xml:space="preserve">     （公章）           </w:t>
      </w:r>
      <w:r>
        <w:rPr>
          <w:rFonts w:hint="eastAsia" w:ascii="宋体" w:hAnsi="宋体"/>
          <w:color w:val="000000"/>
          <w:sz w:val="24"/>
          <w:szCs w:val="24"/>
        </w:rPr>
        <w:t>招标编号：</w:t>
      </w:r>
      <w:r>
        <w:rPr>
          <w:rFonts w:hint="eastAsia" w:ascii="宋体" w:hAnsi="宋体"/>
          <w:color w:val="000000"/>
          <w:sz w:val="24"/>
          <w:szCs w:val="24"/>
          <w:u w:val="single"/>
        </w:rPr>
        <w:t xml:space="preserve">                 </w:t>
      </w:r>
    </w:p>
    <w:p w14:paraId="592BCD48">
      <w:pPr>
        <w:spacing w:after="240" w:line="360" w:lineRule="auto"/>
        <w:ind w:hanging="119"/>
        <w:rPr>
          <w:rFonts w:ascii="宋体" w:hAnsi="宋体"/>
          <w:color w:val="000000"/>
          <w:sz w:val="24"/>
          <w:szCs w:val="24"/>
          <w:u w:val="single"/>
        </w:rPr>
      </w:pPr>
      <w:r>
        <w:rPr>
          <w:rFonts w:hint="eastAsia" w:ascii="宋体" w:hAnsi="宋体"/>
          <w:color w:val="000000"/>
          <w:sz w:val="24"/>
          <w:szCs w:val="24"/>
        </w:rPr>
        <w:t>投标人代表签字：</w:t>
      </w:r>
      <w:r>
        <w:rPr>
          <w:rFonts w:hint="eastAsia" w:ascii="宋体" w:hAnsi="宋体"/>
          <w:color w:val="000000"/>
          <w:sz w:val="24"/>
          <w:szCs w:val="24"/>
          <w:u w:val="single"/>
        </w:rPr>
        <w:t xml:space="preserve">                                   </w:t>
      </w:r>
    </w:p>
    <w:tbl>
      <w:tblPr>
        <w:tblStyle w:val="4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00"/>
        <w:gridCol w:w="1620"/>
        <w:gridCol w:w="1440"/>
        <w:gridCol w:w="1650"/>
        <w:gridCol w:w="1417"/>
      </w:tblGrid>
      <w:tr w14:paraId="63C023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06F2FE2">
            <w:pPr>
              <w:spacing w:before="240" w:after="240"/>
              <w:jc w:val="center"/>
              <w:rPr>
                <w:rFonts w:ascii="宋体" w:hAnsi="宋体"/>
                <w:color w:val="000000"/>
                <w:sz w:val="24"/>
                <w:szCs w:val="24"/>
              </w:rPr>
            </w:pPr>
            <w:r>
              <w:rPr>
                <w:rFonts w:ascii="宋体" w:hAnsi="宋体"/>
                <w:color w:val="000000"/>
                <w:sz w:val="24"/>
                <w:szCs w:val="24"/>
              </w:rPr>
              <w:t>序号</w:t>
            </w:r>
          </w:p>
        </w:tc>
        <w:tc>
          <w:tcPr>
            <w:tcW w:w="1800" w:type="dxa"/>
            <w:vAlign w:val="center"/>
          </w:tcPr>
          <w:p w14:paraId="448C93B8">
            <w:pPr>
              <w:jc w:val="center"/>
              <w:rPr>
                <w:rFonts w:ascii="宋体" w:hAnsi="宋体"/>
                <w:color w:val="000000"/>
                <w:sz w:val="24"/>
                <w:szCs w:val="24"/>
              </w:rPr>
            </w:pPr>
            <w:r>
              <w:rPr>
                <w:rFonts w:ascii="宋体" w:hAnsi="宋体"/>
                <w:color w:val="000000"/>
                <w:sz w:val="24"/>
                <w:szCs w:val="24"/>
              </w:rPr>
              <w:t>设备名称</w:t>
            </w:r>
          </w:p>
        </w:tc>
        <w:tc>
          <w:tcPr>
            <w:tcW w:w="1620" w:type="dxa"/>
            <w:vAlign w:val="center"/>
          </w:tcPr>
          <w:p w14:paraId="600BD089">
            <w:pPr>
              <w:jc w:val="center"/>
              <w:rPr>
                <w:rFonts w:ascii="宋体" w:hAnsi="宋体"/>
                <w:color w:val="000000"/>
                <w:sz w:val="24"/>
                <w:szCs w:val="24"/>
              </w:rPr>
            </w:pPr>
            <w:r>
              <w:rPr>
                <w:rFonts w:ascii="宋体" w:hAnsi="宋体"/>
                <w:color w:val="000000"/>
                <w:sz w:val="24"/>
                <w:szCs w:val="24"/>
              </w:rPr>
              <w:t>招标规格</w:t>
            </w:r>
          </w:p>
        </w:tc>
        <w:tc>
          <w:tcPr>
            <w:tcW w:w="1440" w:type="dxa"/>
            <w:vAlign w:val="center"/>
          </w:tcPr>
          <w:p w14:paraId="404C0324">
            <w:pPr>
              <w:jc w:val="center"/>
              <w:rPr>
                <w:rFonts w:ascii="宋体" w:hAnsi="宋体"/>
                <w:color w:val="000000"/>
                <w:sz w:val="24"/>
                <w:szCs w:val="24"/>
              </w:rPr>
            </w:pPr>
            <w:r>
              <w:rPr>
                <w:rFonts w:ascii="宋体" w:hAnsi="宋体"/>
                <w:color w:val="000000"/>
                <w:sz w:val="24"/>
                <w:szCs w:val="24"/>
              </w:rPr>
              <w:t>投标规格</w:t>
            </w:r>
          </w:p>
        </w:tc>
        <w:tc>
          <w:tcPr>
            <w:tcW w:w="1650" w:type="dxa"/>
            <w:vAlign w:val="center"/>
          </w:tcPr>
          <w:p w14:paraId="3F216115">
            <w:pPr>
              <w:jc w:val="center"/>
              <w:rPr>
                <w:rFonts w:ascii="宋体" w:hAnsi="宋体"/>
                <w:color w:val="000000"/>
                <w:sz w:val="24"/>
                <w:szCs w:val="24"/>
              </w:rPr>
            </w:pPr>
            <w:r>
              <w:rPr>
                <w:rFonts w:ascii="宋体" w:hAnsi="宋体"/>
                <w:color w:val="000000"/>
                <w:sz w:val="24"/>
                <w:szCs w:val="24"/>
              </w:rPr>
              <w:t>偏离（需注明正偏离/负偏离/无偏离）</w:t>
            </w:r>
          </w:p>
        </w:tc>
        <w:tc>
          <w:tcPr>
            <w:tcW w:w="1417" w:type="dxa"/>
            <w:vAlign w:val="center"/>
          </w:tcPr>
          <w:p w14:paraId="7E9636C5">
            <w:pPr>
              <w:jc w:val="center"/>
              <w:rPr>
                <w:rFonts w:ascii="宋体" w:hAnsi="宋体"/>
                <w:color w:val="000000"/>
                <w:sz w:val="24"/>
                <w:szCs w:val="24"/>
              </w:rPr>
            </w:pPr>
            <w:r>
              <w:rPr>
                <w:rFonts w:ascii="宋体" w:hAnsi="宋体"/>
                <w:color w:val="000000"/>
                <w:sz w:val="24"/>
                <w:szCs w:val="24"/>
              </w:rPr>
              <w:t>说明（需对偏离部分做详细说明）</w:t>
            </w:r>
          </w:p>
        </w:tc>
      </w:tr>
      <w:tr w14:paraId="15DC3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tcPr>
          <w:p w14:paraId="5D0F2F8D">
            <w:pPr>
              <w:spacing w:before="240" w:after="240"/>
              <w:rPr>
                <w:rFonts w:ascii="宋体" w:hAnsi="宋体"/>
                <w:color w:val="000000"/>
                <w:sz w:val="24"/>
                <w:szCs w:val="24"/>
              </w:rPr>
            </w:pPr>
          </w:p>
        </w:tc>
        <w:tc>
          <w:tcPr>
            <w:tcW w:w="1800" w:type="dxa"/>
          </w:tcPr>
          <w:p w14:paraId="2AA01A47">
            <w:pPr>
              <w:rPr>
                <w:rFonts w:ascii="宋体" w:hAnsi="宋体"/>
                <w:color w:val="000000"/>
                <w:sz w:val="24"/>
                <w:szCs w:val="24"/>
              </w:rPr>
            </w:pPr>
          </w:p>
        </w:tc>
        <w:tc>
          <w:tcPr>
            <w:tcW w:w="1620" w:type="dxa"/>
          </w:tcPr>
          <w:p w14:paraId="5B1CD867">
            <w:pPr>
              <w:rPr>
                <w:rFonts w:ascii="宋体" w:hAnsi="宋体"/>
                <w:color w:val="000000"/>
                <w:sz w:val="24"/>
                <w:szCs w:val="24"/>
              </w:rPr>
            </w:pPr>
          </w:p>
        </w:tc>
        <w:tc>
          <w:tcPr>
            <w:tcW w:w="1440" w:type="dxa"/>
          </w:tcPr>
          <w:p w14:paraId="7CA6D39C">
            <w:pPr>
              <w:rPr>
                <w:rFonts w:ascii="宋体" w:hAnsi="宋体"/>
                <w:color w:val="000000"/>
                <w:sz w:val="24"/>
                <w:szCs w:val="24"/>
              </w:rPr>
            </w:pPr>
          </w:p>
        </w:tc>
        <w:tc>
          <w:tcPr>
            <w:tcW w:w="1650" w:type="dxa"/>
          </w:tcPr>
          <w:p w14:paraId="271112F7">
            <w:pPr>
              <w:rPr>
                <w:rFonts w:ascii="宋体" w:hAnsi="宋体"/>
                <w:color w:val="000000"/>
                <w:sz w:val="24"/>
                <w:szCs w:val="24"/>
              </w:rPr>
            </w:pPr>
          </w:p>
        </w:tc>
        <w:tc>
          <w:tcPr>
            <w:tcW w:w="1417" w:type="dxa"/>
          </w:tcPr>
          <w:p w14:paraId="55115AFB">
            <w:pPr>
              <w:rPr>
                <w:rFonts w:ascii="宋体" w:hAnsi="宋体"/>
                <w:color w:val="000000"/>
                <w:sz w:val="24"/>
                <w:szCs w:val="24"/>
              </w:rPr>
            </w:pPr>
          </w:p>
        </w:tc>
      </w:tr>
      <w:tr w14:paraId="502B49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tcPr>
          <w:p w14:paraId="3BAE2AE0">
            <w:pPr>
              <w:spacing w:before="240" w:after="240"/>
              <w:rPr>
                <w:rFonts w:ascii="宋体" w:hAnsi="宋体"/>
                <w:color w:val="000000"/>
                <w:sz w:val="24"/>
                <w:szCs w:val="24"/>
              </w:rPr>
            </w:pPr>
          </w:p>
        </w:tc>
        <w:tc>
          <w:tcPr>
            <w:tcW w:w="1800" w:type="dxa"/>
          </w:tcPr>
          <w:p w14:paraId="23AFAF64">
            <w:pPr>
              <w:rPr>
                <w:rFonts w:ascii="宋体" w:hAnsi="宋体"/>
                <w:color w:val="000000"/>
                <w:sz w:val="24"/>
                <w:szCs w:val="24"/>
              </w:rPr>
            </w:pPr>
          </w:p>
        </w:tc>
        <w:tc>
          <w:tcPr>
            <w:tcW w:w="1620" w:type="dxa"/>
          </w:tcPr>
          <w:p w14:paraId="25E844E7">
            <w:pPr>
              <w:rPr>
                <w:rFonts w:ascii="宋体" w:hAnsi="宋体"/>
                <w:color w:val="000000"/>
                <w:sz w:val="24"/>
                <w:szCs w:val="24"/>
              </w:rPr>
            </w:pPr>
          </w:p>
        </w:tc>
        <w:tc>
          <w:tcPr>
            <w:tcW w:w="1440" w:type="dxa"/>
          </w:tcPr>
          <w:p w14:paraId="5AA826E3">
            <w:pPr>
              <w:rPr>
                <w:rFonts w:ascii="宋体" w:hAnsi="宋体"/>
                <w:color w:val="000000"/>
                <w:sz w:val="24"/>
                <w:szCs w:val="24"/>
              </w:rPr>
            </w:pPr>
          </w:p>
        </w:tc>
        <w:tc>
          <w:tcPr>
            <w:tcW w:w="1650" w:type="dxa"/>
          </w:tcPr>
          <w:p w14:paraId="7FE8AB8D">
            <w:pPr>
              <w:rPr>
                <w:rFonts w:ascii="宋体" w:hAnsi="宋体"/>
                <w:color w:val="000000"/>
                <w:sz w:val="24"/>
                <w:szCs w:val="24"/>
              </w:rPr>
            </w:pPr>
          </w:p>
        </w:tc>
        <w:tc>
          <w:tcPr>
            <w:tcW w:w="1417" w:type="dxa"/>
          </w:tcPr>
          <w:p w14:paraId="1C0A3F4E">
            <w:pPr>
              <w:rPr>
                <w:rFonts w:ascii="宋体" w:hAnsi="宋体"/>
                <w:color w:val="000000"/>
                <w:sz w:val="24"/>
                <w:szCs w:val="24"/>
              </w:rPr>
            </w:pPr>
          </w:p>
        </w:tc>
      </w:tr>
      <w:tr w14:paraId="624CCA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tcPr>
          <w:p w14:paraId="27A46719">
            <w:pPr>
              <w:spacing w:before="240" w:after="240"/>
              <w:rPr>
                <w:rFonts w:ascii="宋体" w:hAnsi="宋体"/>
                <w:color w:val="000000"/>
                <w:sz w:val="24"/>
                <w:szCs w:val="24"/>
              </w:rPr>
            </w:pPr>
          </w:p>
        </w:tc>
        <w:tc>
          <w:tcPr>
            <w:tcW w:w="1800" w:type="dxa"/>
          </w:tcPr>
          <w:p w14:paraId="6913F2AF">
            <w:pPr>
              <w:rPr>
                <w:rFonts w:ascii="宋体" w:hAnsi="宋体"/>
                <w:color w:val="000000"/>
                <w:sz w:val="24"/>
                <w:szCs w:val="24"/>
              </w:rPr>
            </w:pPr>
          </w:p>
        </w:tc>
        <w:tc>
          <w:tcPr>
            <w:tcW w:w="1620" w:type="dxa"/>
          </w:tcPr>
          <w:p w14:paraId="3D522427">
            <w:pPr>
              <w:rPr>
                <w:rFonts w:ascii="宋体" w:hAnsi="宋体"/>
                <w:color w:val="000000"/>
                <w:sz w:val="24"/>
                <w:szCs w:val="24"/>
              </w:rPr>
            </w:pPr>
          </w:p>
        </w:tc>
        <w:tc>
          <w:tcPr>
            <w:tcW w:w="1440" w:type="dxa"/>
          </w:tcPr>
          <w:p w14:paraId="1341BA52">
            <w:pPr>
              <w:rPr>
                <w:rFonts w:ascii="宋体" w:hAnsi="宋体"/>
                <w:color w:val="000000"/>
                <w:sz w:val="24"/>
                <w:szCs w:val="24"/>
              </w:rPr>
            </w:pPr>
          </w:p>
        </w:tc>
        <w:tc>
          <w:tcPr>
            <w:tcW w:w="1650" w:type="dxa"/>
          </w:tcPr>
          <w:p w14:paraId="5B95A092">
            <w:pPr>
              <w:rPr>
                <w:rFonts w:ascii="宋体" w:hAnsi="宋体"/>
                <w:color w:val="000000"/>
                <w:sz w:val="24"/>
                <w:szCs w:val="24"/>
              </w:rPr>
            </w:pPr>
          </w:p>
        </w:tc>
        <w:tc>
          <w:tcPr>
            <w:tcW w:w="1417" w:type="dxa"/>
          </w:tcPr>
          <w:p w14:paraId="163DF781">
            <w:pPr>
              <w:rPr>
                <w:rFonts w:ascii="宋体" w:hAnsi="宋体"/>
                <w:color w:val="000000"/>
                <w:sz w:val="24"/>
                <w:szCs w:val="24"/>
              </w:rPr>
            </w:pPr>
          </w:p>
        </w:tc>
      </w:tr>
      <w:tr w14:paraId="3F09E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tcPr>
          <w:p w14:paraId="36EE86C5">
            <w:pPr>
              <w:spacing w:before="240" w:after="240"/>
              <w:rPr>
                <w:rFonts w:ascii="宋体" w:hAnsi="宋体"/>
                <w:color w:val="000000"/>
                <w:sz w:val="24"/>
                <w:szCs w:val="24"/>
              </w:rPr>
            </w:pPr>
          </w:p>
        </w:tc>
        <w:tc>
          <w:tcPr>
            <w:tcW w:w="1800" w:type="dxa"/>
          </w:tcPr>
          <w:p w14:paraId="77B4F773">
            <w:pPr>
              <w:rPr>
                <w:rFonts w:ascii="宋体" w:hAnsi="宋体"/>
                <w:color w:val="000000"/>
                <w:sz w:val="24"/>
                <w:szCs w:val="24"/>
              </w:rPr>
            </w:pPr>
          </w:p>
        </w:tc>
        <w:tc>
          <w:tcPr>
            <w:tcW w:w="1620" w:type="dxa"/>
          </w:tcPr>
          <w:p w14:paraId="7485E658">
            <w:pPr>
              <w:rPr>
                <w:rFonts w:ascii="宋体" w:hAnsi="宋体"/>
                <w:color w:val="000000"/>
                <w:sz w:val="24"/>
                <w:szCs w:val="24"/>
              </w:rPr>
            </w:pPr>
          </w:p>
        </w:tc>
        <w:tc>
          <w:tcPr>
            <w:tcW w:w="1440" w:type="dxa"/>
          </w:tcPr>
          <w:p w14:paraId="4FE2A9A4">
            <w:pPr>
              <w:rPr>
                <w:rFonts w:ascii="宋体" w:hAnsi="宋体"/>
                <w:color w:val="000000"/>
                <w:sz w:val="24"/>
                <w:szCs w:val="24"/>
              </w:rPr>
            </w:pPr>
          </w:p>
        </w:tc>
        <w:tc>
          <w:tcPr>
            <w:tcW w:w="1650" w:type="dxa"/>
          </w:tcPr>
          <w:p w14:paraId="4592D32B">
            <w:pPr>
              <w:rPr>
                <w:rFonts w:ascii="宋体" w:hAnsi="宋体"/>
                <w:color w:val="000000"/>
                <w:sz w:val="24"/>
                <w:szCs w:val="24"/>
              </w:rPr>
            </w:pPr>
          </w:p>
        </w:tc>
        <w:tc>
          <w:tcPr>
            <w:tcW w:w="1417" w:type="dxa"/>
          </w:tcPr>
          <w:p w14:paraId="2CBBE340">
            <w:pPr>
              <w:rPr>
                <w:rFonts w:ascii="宋体" w:hAnsi="宋体"/>
                <w:color w:val="000000"/>
                <w:sz w:val="24"/>
                <w:szCs w:val="24"/>
              </w:rPr>
            </w:pPr>
          </w:p>
        </w:tc>
      </w:tr>
      <w:tr w14:paraId="6ECE6F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tcPr>
          <w:p w14:paraId="799B11B7">
            <w:pPr>
              <w:spacing w:before="240" w:after="240"/>
              <w:rPr>
                <w:rFonts w:ascii="宋体" w:hAnsi="宋体"/>
                <w:color w:val="000000"/>
                <w:sz w:val="24"/>
                <w:szCs w:val="24"/>
              </w:rPr>
            </w:pPr>
          </w:p>
        </w:tc>
        <w:tc>
          <w:tcPr>
            <w:tcW w:w="1800" w:type="dxa"/>
          </w:tcPr>
          <w:p w14:paraId="4D038EBE">
            <w:pPr>
              <w:rPr>
                <w:rFonts w:ascii="宋体" w:hAnsi="宋体"/>
                <w:color w:val="000000"/>
                <w:sz w:val="24"/>
                <w:szCs w:val="24"/>
              </w:rPr>
            </w:pPr>
          </w:p>
        </w:tc>
        <w:tc>
          <w:tcPr>
            <w:tcW w:w="1620" w:type="dxa"/>
          </w:tcPr>
          <w:p w14:paraId="1C87F334">
            <w:pPr>
              <w:rPr>
                <w:rFonts w:ascii="宋体" w:hAnsi="宋体"/>
                <w:color w:val="000000"/>
                <w:sz w:val="24"/>
                <w:szCs w:val="24"/>
              </w:rPr>
            </w:pPr>
          </w:p>
        </w:tc>
        <w:tc>
          <w:tcPr>
            <w:tcW w:w="1440" w:type="dxa"/>
          </w:tcPr>
          <w:p w14:paraId="2689E61D">
            <w:pPr>
              <w:rPr>
                <w:rFonts w:ascii="宋体" w:hAnsi="宋体"/>
                <w:color w:val="000000"/>
                <w:sz w:val="24"/>
                <w:szCs w:val="24"/>
              </w:rPr>
            </w:pPr>
          </w:p>
        </w:tc>
        <w:tc>
          <w:tcPr>
            <w:tcW w:w="1650" w:type="dxa"/>
          </w:tcPr>
          <w:p w14:paraId="134DA04F">
            <w:pPr>
              <w:rPr>
                <w:rFonts w:ascii="宋体" w:hAnsi="宋体"/>
                <w:color w:val="000000"/>
                <w:sz w:val="24"/>
                <w:szCs w:val="24"/>
              </w:rPr>
            </w:pPr>
          </w:p>
        </w:tc>
        <w:tc>
          <w:tcPr>
            <w:tcW w:w="1417" w:type="dxa"/>
          </w:tcPr>
          <w:p w14:paraId="240BABE6">
            <w:pPr>
              <w:rPr>
                <w:rFonts w:ascii="宋体" w:hAnsi="宋体"/>
                <w:color w:val="000000"/>
                <w:sz w:val="24"/>
                <w:szCs w:val="24"/>
              </w:rPr>
            </w:pPr>
          </w:p>
        </w:tc>
      </w:tr>
      <w:tr w14:paraId="131D2A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tcPr>
          <w:p w14:paraId="0086E6B2">
            <w:pPr>
              <w:spacing w:before="240" w:after="240"/>
              <w:rPr>
                <w:rFonts w:ascii="宋体" w:hAnsi="宋体"/>
                <w:color w:val="000000"/>
                <w:sz w:val="24"/>
                <w:szCs w:val="24"/>
              </w:rPr>
            </w:pPr>
          </w:p>
        </w:tc>
        <w:tc>
          <w:tcPr>
            <w:tcW w:w="1800" w:type="dxa"/>
          </w:tcPr>
          <w:p w14:paraId="524CEB24">
            <w:pPr>
              <w:rPr>
                <w:rFonts w:ascii="宋体" w:hAnsi="宋体"/>
                <w:color w:val="000000"/>
                <w:sz w:val="24"/>
                <w:szCs w:val="24"/>
              </w:rPr>
            </w:pPr>
          </w:p>
        </w:tc>
        <w:tc>
          <w:tcPr>
            <w:tcW w:w="1620" w:type="dxa"/>
          </w:tcPr>
          <w:p w14:paraId="6BE5B1EC">
            <w:pPr>
              <w:rPr>
                <w:rFonts w:ascii="宋体" w:hAnsi="宋体"/>
                <w:color w:val="000000"/>
                <w:sz w:val="24"/>
                <w:szCs w:val="24"/>
              </w:rPr>
            </w:pPr>
          </w:p>
        </w:tc>
        <w:tc>
          <w:tcPr>
            <w:tcW w:w="1440" w:type="dxa"/>
          </w:tcPr>
          <w:p w14:paraId="65E79AFA">
            <w:pPr>
              <w:rPr>
                <w:rFonts w:ascii="宋体" w:hAnsi="宋体"/>
                <w:color w:val="000000"/>
                <w:sz w:val="24"/>
                <w:szCs w:val="24"/>
              </w:rPr>
            </w:pPr>
          </w:p>
        </w:tc>
        <w:tc>
          <w:tcPr>
            <w:tcW w:w="1650" w:type="dxa"/>
          </w:tcPr>
          <w:p w14:paraId="0131468F">
            <w:pPr>
              <w:rPr>
                <w:rFonts w:ascii="宋体" w:hAnsi="宋体"/>
                <w:color w:val="000000"/>
                <w:sz w:val="24"/>
                <w:szCs w:val="24"/>
              </w:rPr>
            </w:pPr>
          </w:p>
        </w:tc>
        <w:tc>
          <w:tcPr>
            <w:tcW w:w="1417" w:type="dxa"/>
          </w:tcPr>
          <w:p w14:paraId="5A6C9857">
            <w:pPr>
              <w:rPr>
                <w:rFonts w:ascii="宋体" w:hAnsi="宋体"/>
                <w:color w:val="000000"/>
                <w:sz w:val="24"/>
                <w:szCs w:val="24"/>
              </w:rPr>
            </w:pPr>
          </w:p>
        </w:tc>
      </w:tr>
      <w:tr w14:paraId="345C6D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tcPr>
          <w:p w14:paraId="6102E6E8">
            <w:pPr>
              <w:spacing w:before="240" w:after="240"/>
              <w:rPr>
                <w:rFonts w:ascii="宋体" w:hAnsi="宋体"/>
                <w:color w:val="000000"/>
                <w:sz w:val="24"/>
                <w:szCs w:val="24"/>
              </w:rPr>
            </w:pPr>
          </w:p>
        </w:tc>
        <w:tc>
          <w:tcPr>
            <w:tcW w:w="1800" w:type="dxa"/>
          </w:tcPr>
          <w:p w14:paraId="47614512">
            <w:pPr>
              <w:rPr>
                <w:rFonts w:ascii="宋体" w:hAnsi="宋体"/>
                <w:color w:val="000000"/>
                <w:sz w:val="24"/>
                <w:szCs w:val="24"/>
              </w:rPr>
            </w:pPr>
          </w:p>
        </w:tc>
        <w:tc>
          <w:tcPr>
            <w:tcW w:w="1620" w:type="dxa"/>
          </w:tcPr>
          <w:p w14:paraId="79A3A7DD">
            <w:pPr>
              <w:rPr>
                <w:rFonts w:ascii="宋体" w:hAnsi="宋体"/>
                <w:color w:val="000000"/>
                <w:sz w:val="24"/>
                <w:szCs w:val="24"/>
              </w:rPr>
            </w:pPr>
          </w:p>
        </w:tc>
        <w:tc>
          <w:tcPr>
            <w:tcW w:w="1440" w:type="dxa"/>
          </w:tcPr>
          <w:p w14:paraId="166BD1CF">
            <w:pPr>
              <w:rPr>
                <w:rFonts w:ascii="宋体" w:hAnsi="宋体"/>
                <w:color w:val="000000"/>
                <w:sz w:val="24"/>
                <w:szCs w:val="24"/>
              </w:rPr>
            </w:pPr>
          </w:p>
        </w:tc>
        <w:tc>
          <w:tcPr>
            <w:tcW w:w="1650" w:type="dxa"/>
          </w:tcPr>
          <w:p w14:paraId="415CA3E0">
            <w:pPr>
              <w:rPr>
                <w:rFonts w:ascii="宋体" w:hAnsi="宋体"/>
                <w:color w:val="000000"/>
                <w:sz w:val="24"/>
                <w:szCs w:val="24"/>
              </w:rPr>
            </w:pPr>
          </w:p>
        </w:tc>
        <w:tc>
          <w:tcPr>
            <w:tcW w:w="1417" w:type="dxa"/>
          </w:tcPr>
          <w:p w14:paraId="1A07B2A0">
            <w:pPr>
              <w:rPr>
                <w:rFonts w:ascii="宋体" w:hAnsi="宋体"/>
                <w:color w:val="000000"/>
                <w:sz w:val="24"/>
                <w:szCs w:val="24"/>
              </w:rPr>
            </w:pPr>
          </w:p>
        </w:tc>
      </w:tr>
      <w:tr w14:paraId="234DC6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tcPr>
          <w:p w14:paraId="58DB1B1D">
            <w:pPr>
              <w:spacing w:before="240" w:after="240"/>
              <w:rPr>
                <w:rFonts w:ascii="宋体" w:hAnsi="宋体"/>
                <w:color w:val="000000"/>
                <w:sz w:val="24"/>
                <w:szCs w:val="24"/>
              </w:rPr>
            </w:pPr>
          </w:p>
        </w:tc>
        <w:tc>
          <w:tcPr>
            <w:tcW w:w="1800" w:type="dxa"/>
          </w:tcPr>
          <w:p w14:paraId="68ABFB14">
            <w:pPr>
              <w:rPr>
                <w:rFonts w:ascii="宋体" w:hAnsi="宋体"/>
                <w:color w:val="000000"/>
                <w:sz w:val="24"/>
                <w:szCs w:val="24"/>
              </w:rPr>
            </w:pPr>
          </w:p>
        </w:tc>
        <w:tc>
          <w:tcPr>
            <w:tcW w:w="1620" w:type="dxa"/>
          </w:tcPr>
          <w:p w14:paraId="28CC1C69">
            <w:pPr>
              <w:rPr>
                <w:rFonts w:ascii="宋体" w:hAnsi="宋体"/>
                <w:color w:val="000000"/>
                <w:sz w:val="24"/>
                <w:szCs w:val="24"/>
              </w:rPr>
            </w:pPr>
          </w:p>
        </w:tc>
        <w:tc>
          <w:tcPr>
            <w:tcW w:w="1440" w:type="dxa"/>
          </w:tcPr>
          <w:p w14:paraId="396AC26F">
            <w:pPr>
              <w:rPr>
                <w:rFonts w:ascii="宋体" w:hAnsi="宋体"/>
                <w:color w:val="000000"/>
                <w:sz w:val="24"/>
                <w:szCs w:val="24"/>
              </w:rPr>
            </w:pPr>
          </w:p>
        </w:tc>
        <w:tc>
          <w:tcPr>
            <w:tcW w:w="1650" w:type="dxa"/>
          </w:tcPr>
          <w:p w14:paraId="4FB1F171">
            <w:pPr>
              <w:rPr>
                <w:rFonts w:ascii="宋体" w:hAnsi="宋体"/>
                <w:color w:val="000000"/>
                <w:sz w:val="24"/>
                <w:szCs w:val="24"/>
              </w:rPr>
            </w:pPr>
          </w:p>
        </w:tc>
        <w:tc>
          <w:tcPr>
            <w:tcW w:w="1417" w:type="dxa"/>
          </w:tcPr>
          <w:p w14:paraId="78886313">
            <w:pPr>
              <w:rPr>
                <w:rFonts w:ascii="宋体" w:hAnsi="宋体"/>
                <w:color w:val="000000"/>
                <w:sz w:val="24"/>
                <w:szCs w:val="24"/>
              </w:rPr>
            </w:pPr>
          </w:p>
        </w:tc>
      </w:tr>
      <w:tr w14:paraId="031AA4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tcPr>
          <w:p w14:paraId="79CE1DCB">
            <w:pPr>
              <w:spacing w:before="240" w:after="240"/>
              <w:rPr>
                <w:rFonts w:ascii="宋体" w:hAnsi="宋体"/>
                <w:color w:val="000000"/>
                <w:sz w:val="24"/>
                <w:szCs w:val="24"/>
              </w:rPr>
            </w:pPr>
          </w:p>
        </w:tc>
        <w:tc>
          <w:tcPr>
            <w:tcW w:w="1800" w:type="dxa"/>
          </w:tcPr>
          <w:p w14:paraId="7359EC7B">
            <w:pPr>
              <w:rPr>
                <w:rFonts w:ascii="宋体" w:hAnsi="宋体"/>
                <w:color w:val="000000"/>
                <w:sz w:val="24"/>
                <w:szCs w:val="24"/>
              </w:rPr>
            </w:pPr>
          </w:p>
        </w:tc>
        <w:tc>
          <w:tcPr>
            <w:tcW w:w="1620" w:type="dxa"/>
          </w:tcPr>
          <w:p w14:paraId="5BD20EB6">
            <w:pPr>
              <w:rPr>
                <w:rFonts w:ascii="宋体" w:hAnsi="宋体"/>
                <w:color w:val="000000"/>
                <w:sz w:val="24"/>
                <w:szCs w:val="24"/>
              </w:rPr>
            </w:pPr>
          </w:p>
        </w:tc>
        <w:tc>
          <w:tcPr>
            <w:tcW w:w="1440" w:type="dxa"/>
          </w:tcPr>
          <w:p w14:paraId="248B48D7">
            <w:pPr>
              <w:rPr>
                <w:rFonts w:ascii="宋体" w:hAnsi="宋体"/>
                <w:color w:val="000000"/>
                <w:sz w:val="24"/>
                <w:szCs w:val="24"/>
              </w:rPr>
            </w:pPr>
          </w:p>
        </w:tc>
        <w:tc>
          <w:tcPr>
            <w:tcW w:w="1650" w:type="dxa"/>
          </w:tcPr>
          <w:p w14:paraId="0E762917">
            <w:pPr>
              <w:rPr>
                <w:rFonts w:ascii="宋体" w:hAnsi="宋体"/>
                <w:color w:val="000000"/>
                <w:sz w:val="24"/>
                <w:szCs w:val="24"/>
              </w:rPr>
            </w:pPr>
          </w:p>
        </w:tc>
        <w:tc>
          <w:tcPr>
            <w:tcW w:w="1417" w:type="dxa"/>
          </w:tcPr>
          <w:p w14:paraId="661307AF">
            <w:pPr>
              <w:rPr>
                <w:rFonts w:ascii="宋体" w:hAnsi="宋体"/>
                <w:color w:val="000000"/>
                <w:sz w:val="24"/>
                <w:szCs w:val="24"/>
              </w:rPr>
            </w:pPr>
          </w:p>
        </w:tc>
      </w:tr>
      <w:tr w14:paraId="33DF9E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tcPr>
          <w:p w14:paraId="3024EFB5">
            <w:pPr>
              <w:spacing w:before="240" w:after="240"/>
              <w:rPr>
                <w:rFonts w:ascii="宋体" w:hAnsi="宋体"/>
                <w:color w:val="000000"/>
                <w:sz w:val="24"/>
                <w:szCs w:val="24"/>
              </w:rPr>
            </w:pPr>
          </w:p>
        </w:tc>
        <w:tc>
          <w:tcPr>
            <w:tcW w:w="1800" w:type="dxa"/>
          </w:tcPr>
          <w:p w14:paraId="140CB140">
            <w:pPr>
              <w:rPr>
                <w:rFonts w:ascii="宋体" w:hAnsi="宋体"/>
                <w:color w:val="000000"/>
                <w:sz w:val="24"/>
                <w:szCs w:val="24"/>
              </w:rPr>
            </w:pPr>
          </w:p>
        </w:tc>
        <w:tc>
          <w:tcPr>
            <w:tcW w:w="1620" w:type="dxa"/>
          </w:tcPr>
          <w:p w14:paraId="45F89B19">
            <w:pPr>
              <w:rPr>
                <w:rFonts w:ascii="宋体" w:hAnsi="宋体"/>
                <w:color w:val="000000"/>
                <w:sz w:val="24"/>
                <w:szCs w:val="24"/>
              </w:rPr>
            </w:pPr>
          </w:p>
        </w:tc>
        <w:tc>
          <w:tcPr>
            <w:tcW w:w="1440" w:type="dxa"/>
          </w:tcPr>
          <w:p w14:paraId="6D62E66C">
            <w:pPr>
              <w:rPr>
                <w:rFonts w:ascii="宋体" w:hAnsi="宋体"/>
                <w:color w:val="000000"/>
                <w:sz w:val="24"/>
                <w:szCs w:val="24"/>
              </w:rPr>
            </w:pPr>
          </w:p>
        </w:tc>
        <w:tc>
          <w:tcPr>
            <w:tcW w:w="1650" w:type="dxa"/>
          </w:tcPr>
          <w:p w14:paraId="062E9CFF">
            <w:pPr>
              <w:rPr>
                <w:rFonts w:ascii="宋体" w:hAnsi="宋体"/>
                <w:color w:val="000000"/>
                <w:sz w:val="24"/>
                <w:szCs w:val="24"/>
              </w:rPr>
            </w:pPr>
          </w:p>
        </w:tc>
        <w:tc>
          <w:tcPr>
            <w:tcW w:w="1417" w:type="dxa"/>
          </w:tcPr>
          <w:p w14:paraId="45499B82">
            <w:pPr>
              <w:rPr>
                <w:rFonts w:ascii="宋体" w:hAnsi="宋体"/>
                <w:color w:val="000000"/>
                <w:sz w:val="24"/>
                <w:szCs w:val="24"/>
              </w:rPr>
            </w:pPr>
          </w:p>
        </w:tc>
      </w:tr>
      <w:tr w14:paraId="253046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tcPr>
          <w:p w14:paraId="24DF9AC6">
            <w:pPr>
              <w:spacing w:before="240" w:after="240"/>
              <w:rPr>
                <w:rFonts w:ascii="宋体" w:hAnsi="宋体"/>
                <w:color w:val="000000"/>
                <w:sz w:val="24"/>
                <w:szCs w:val="24"/>
              </w:rPr>
            </w:pPr>
          </w:p>
        </w:tc>
        <w:tc>
          <w:tcPr>
            <w:tcW w:w="1800" w:type="dxa"/>
          </w:tcPr>
          <w:p w14:paraId="314160C4">
            <w:pPr>
              <w:rPr>
                <w:rFonts w:ascii="宋体" w:hAnsi="宋体"/>
                <w:color w:val="000000"/>
                <w:sz w:val="24"/>
                <w:szCs w:val="24"/>
              </w:rPr>
            </w:pPr>
          </w:p>
        </w:tc>
        <w:tc>
          <w:tcPr>
            <w:tcW w:w="1620" w:type="dxa"/>
          </w:tcPr>
          <w:p w14:paraId="342A19F1">
            <w:pPr>
              <w:rPr>
                <w:rFonts w:ascii="宋体" w:hAnsi="宋体"/>
                <w:color w:val="000000"/>
                <w:sz w:val="24"/>
                <w:szCs w:val="24"/>
              </w:rPr>
            </w:pPr>
          </w:p>
        </w:tc>
        <w:tc>
          <w:tcPr>
            <w:tcW w:w="1440" w:type="dxa"/>
          </w:tcPr>
          <w:p w14:paraId="4E320B1E">
            <w:pPr>
              <w:rPr>
                <w:rFonts w:ascii="宋体" w:hAnsi="宋体"/>
                <w:color w:val="000000"/>
                <w:sz w:val="24"/>
                <w:szCs w:val="24"/>
              </w:rPr>
            </w:pPr>
          </w:p>
        </w:tc>
        <w:tc>
          <w:tcPr>
            <w:tcW w:w="1650" w:type="dxa"/>
          </w:tcPr>
          <w:p w14:paraId="70E14C32">
            <w:pPr>
              <w:rPr>
                <w:rFonts w:ascii="宋体" w:hAnsi="宋体"/>
                <w:color w:val="000000"/>
                <w:sz w:val="24"/>
                <w:szCs w:val="24"/>
              </w:rPr>
            </w:pPr>
          </w:p>
        </w:tc>
        <w:tc>
          <w:tcPr>
            <w:tcW w:w="1417" w:type="dxa"/>
          </w:tcPr>
          <w:p w14:paraId="0E351340">
            <w:pPr>
              <w:rPr>
                <w:rFonts w:ascii="宋体" w:hAnsi="宋体"/>
                <w:color w:val="000000"/>
                <w:sz w:val="24"/>
                <w:szCs w:val="24"/>
              </w:rPr>
            </w:pPr>
          </w:p>
        </w:tc>
      </w:tr>
    </w:tbl>
    <w:p w14:paraId="47FE5B11">
      <w:pPr>
        <w:spacing w:before="240"/>
        <w:ind w:left="482" w:hanging="482" w:hangingChars="200"/>
        <w:rPr>
          <w:rFonts w:ascii="宋体" w:hAnsi="宋体"/>
          <w:color w:val="000000"/>
          <w:sz w:val="24"/>
          <w:szCs w:val="24"/>
        </w:rPr>
      </w:pPr>
      <w:r>
        <w:rPr>
          <w:rFonts w:ascii="宋体" w:hAnsi="宋体"/>
          <w:b/>
          <w:color w:val="000000"/>
          <w:sz w:val="24"/>
          <w:szCs w:val="24"/>
        </w:rPr>
        <w:t>注</w:t>
      </w:r>
      <w:r>
        <w:rPr>
          <w:rFonts w:hint="eastAsia" w:ascii="宋体" w:hAnsi="宋体"/>
          <w:b/>
          <w:color w:val="000000"/>
          <w:sz w:val="24"/>
          <w:szCs w:val="24"/>
        </w:rPr>
        <w:t>：</w:t>
      </w:r>
      <w:r>
        <w:rPr>
          <w:rFonts w:ascii="宋体" w:hAnsi="宋体"/>
          <w:color w:val="000000"/>
          <w:sz w:val="24"/>
          <w:szCs w:val="24"/>
        </w:rPr>
        <w:t>本招标文件</w:t>
      </w:r>
      <w:r>
        <w:rPr>
          <w:rFonts w:hint="eastAsia" w:ascii="宋体" w:hAnsi="宋体"/>
          <w:color w:val="000000"/>
          <w:sz w:val="24"/>
          <w:szCs w:val="24"/>
        </w:rPr>
        <w:t>第五章为技术参数部分。投标人必须对第五章中的技术条款做出偏离说明（即正偏离/</w:t>
      </w:r>
      <w:r>
        <w:rPr>
          <w:rFonts w:ascii="宋体" w:hAnsi="宋体"/>
          <w:color w:val="000000"/>
          <w:sz w:val="24"/>
          <w:szCs w:val="24"/>
        </w:rPr>
        <w:t>负</w:t>
      </w:r>
      <w:r>
        <w:rPr>
          <w:rFonts w:hint="eastAsia" w:ascii="宋体" w:hAnsi="宋体"/>
          <w:color w:val="000000"/>
          <w:sz w:val="24"/>
          <w:szCs w:val="24"/>
        </w:rPr>
        <w:t>偏离/无偏离），特别是需要对有偏离部分做出详细说明。</w:t>
      </w:r>
    </w:p>
    <w:p w14:paraId="03F86C2D">
      <w:pPr>
        <w:spacing w:before="240"/>
        <w:ind w:hanging="119"/>
        <w:rPr>
          <w:rFonts w:ascii="宋体" w:hAnsi="宋体"/>
          <w:color w:val="000000"/>
          <w:sz w:val="24"/>
          <w:szCs w:val="24"/>
        </w:rPr>
      </w:pPr>
    </w:p>
    <w:p w14:paraId="6C5ABB62">
      <w:pPr>
        <w:pStyle w:val="3"/>
        <w:rPr>
          <w:rFonts w:ascii="宋体" w:hAnsi="宋体" w:eastAsia="宋体"/>
          <w:color w:val="000000"/>
          <w:sz w:val="24"/>
          <w:szCs w:val="24"/>
        </w:rPr>
      </w:pPr>
      <w:bookmarkStart w:id="66" w:name="_Toc73427855"/>
      <w:r>
        <w:rPr>
          <w:rFonts w:hint="eastAsia" w:ascii="宋体" w:hAnsi="宋体" w:eastAsia="宋体"/>
          <w:color w:val="000000"/>
          <w:sz w:val="24"/>
          <w:szCs w:val="24"/>
        </w:rPr>
        <w:t>附件5．商务条款偏离表</w:t>
      </w:r>
      <w:bookmarkEnd w:id="66"/>
    </w:p>
    <w:p w14:paraId="6FD391EA">
      <w:pPr>
        <w:spacing w:after="240" w:line="360" w:lineRule="auto"/>
        <w:ind w:hanging="119"/>
        <w:rPr>
          <w:rFonts w:ascii="宋体" w:hAnsi="宋体"/>
          <w:color w:val="000000"/>
          <w:sz w:val="24"/>
          <w:szCs w:val="24"/>
          <w:u w:val="single"/>
        </w:rPr>
      </w:pPr>
      <w:r>
        <w:rPr>
          <w:rFonts w:hint="eastAsia" w:ascii="宋体" w:hAnsi="宋体"/>
          <w:color w:val="000000"/>
          <w:sz w:val="24"/>
          <w:szCs w:val="24"/>
        </w:rPr>
        <w:t>投标人名称：</w:t>
      </w:r>
      <w:r>
        <w:rPr>
          <w:rFonts w:hint="eastAsia" w:ascii="宋体" w:hAnsi="宋体"/>
          <w:color w:val="000000"/>
          <w:sz w:val="24"/>
          <w:szCs w:val="24"/>
          <w:u w:val="single"/>
        </w:rPr>
        <w:t xml:space="preserve">     （公章）           </w:t>
      </w:r>
      <w:r>
        <w:rPr>
          <w:rFonts w:hint="eastAsia" w:ascii="宋体" w:hAnsi="宋体"/>
          <w:color w:val="000000"/>
          <w:sz w:val="24"/>
          <w:szCs w:val="24"/>
        </w:rPr>
        <w:t>招标编号：</w:t>
      </w:r>
      <w:r>
        <w:rPr>
          <w:rFonts w:hint="eastAsia" w:ascii="宋体" w:hAnsi="宋体"/>
          <w:color w:val="000000"/>
          <w:sz w:val="24"/>
          <w:szCs w:val="24"/>
          <w:u w:val="single"/>
        </w:rPr>
        <w:t xml:space="preserve">                 </w:t>
      </w:r>
    </w:p>
    <w:p w14:paraId="2291ACD4">
      <w:pPr>
        <w:spacing w:after="240" w:line="360" w:lineRule="auto"/>
        <w:ind w:hanging="119"/>
        <w:rPr>
          <w:rFonts w:ascii="宋体" w:hAnsi="宋体"/>
          <w:color w:val="000000"/>
          <w:sz w:val="24"/>
          <w:szCs w:val="24"/>
          <w:u w:val="single"/>
        </w:rPr>
      </w:pPr>
      <w:r>
        <w:rPr>
          <w:rFonts w:hint="eastAsia" w:ascii="宋体" w:hAnsi="宋体"/>
          <w:color w:val="000000"/>
          <w:sz w:val="24"/>
          <w:szCs w:val="24"/>
        </w:rPr>
        <w:t>投标人代表签字：</w:t>
      </w:r>
      <w:r>
        <w:rPr>
          <w:rFonts w:hint="eastAsia" w:ascii="宋体" w:hAnsi="宋体"/>
          <w:color w:val="000000"/>
          <w:sz w:val="24"/>
          <w:szCs w:val="24"/>
          <w:u w:val="single"/>
        </w:rPr>
        <w:t xml:space="preserve">                    </w:t>
      </w:r>
    </w:p>
    <w:tbl>
      <w:tblPr>
        <w:tblStyle w:val="4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920"/>
        <w:gridCol w:w="1591"/>
        <w:gridCol w:w="1559"/>
        <w:gridCol w:w="3261"/>
      </w:tblGrid>
      <w:tr w14:paraId="0E409A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tcPr>
          <w:p w14:paraId="49A00D5E">
            <w:pPr>
              <w:spacing w:before="240" w:after="240"/>
              <w:jc w:val="center"/>
              <w:rPr>
                <w:rFonts w:ascii="宋体" w:hAnsi="宋体"/>
                <w:color w:val="000000"/>
                <w:sz w:val="24"/>
                <w:szCs w:val="24"/>
              </w:rPr>
            </w:pPr>
            <w:r>
              <w:rPr>
                <w:rFonts w:ascii="宋体" w:hAnsi="宋体"/>
                <w:color w:val="000000"/>
                <w:sz w:val="24"/>
                <w:szCs w:val="24"/>
              </w:rPr>
              <w:t>序号</w:t>
            </w:r>
          </w:p>
        </w:tc>
        <w:tc>
          <w:tcPr>
            <w:tcW w:w="1920" w:type="dxa"/>
          </w:tcPr>
          <w:p w14:paraId="1C2DAC83">
            <w:pPr>
              <w:spacing w:before="240" w:after="240"/>
              <w:jc w:val="center"/>
              <w:rPr>
                <w:rFonts w:ascii="宋体" w:hAnsi="宋体"/>
                <w:color w:val="000000"/>
                <w:sz w:val="24"/>
                <w:szCs w:val="24"/>
              </w:rPr>
            </w:pPr>
            <w:r>
              <w:rPr>
                <w:rFonts w:ascii="宋体" w:hAnsi="宋体"/>
                <w:color w:val="000000"/>
                <w:sz w:val="24"/>
                <w:szCs w:val="24"/>
              </w:rPr>
              <w:t>招标文件条目号</w:t>
            </w:r>
          </w:p>
        </w:tc>
        <w:tc>
          <w:tcPr>
            <w:tcW w:w="1591" w:type="dxa"/>
          </w:tcPr>
          <w:p w14:paraId="1F3FDD82">
            <w:pPr>
              <w:spacing w:before="240" w:after="240"/>
              <w:jc w:val="center"/>
              <w:rPr>
                <w:rFonts w:ascii="宋体" w:hAnsi="宋体"/>
                <w:color w:val="000000"/>
                <w:sz w:val="24"/>
                <w:szCs w:val="24"/>
              </w:rPr>
            </w:pPr>
            <w:r>
              <w:rPr>
                <w:rFonts w:ascii="宋体" w:hAnsi="宋体"/>
                <w:color w:val="000000"/>
                <w:sz w:val="24"/>
                <w:szCs w:val="24"/>
              </w:rPr>
              <w:t>招标文件的商务条款</w:t>
            </w:r>
          </w:p>
        </w:tc>
        <w:tc>
          <w:tcPr>
            <w:tcW w:w="1559" w:type="dxa"/>
          </w:tcPr>
          <w:p w14:paraId="70217560">
            <w:pPr>
              <w:spacing w:before="240" w:after="240"/>
              <w:jc w:val="center"/>
              <w:rPr>
                <w:rFonts w:ascii="宋体" w:hAnsi="宋体"/>
                <w:color w:val="000000"/>
                <w:sz w:val="24"/>
                <w:szCs w:val="24"/>
              </w:rPr>
            </w:pPr>
            <w:r>
              <w:rPr>
                <w:rFonts w:ascii="宋体" w:hAnsi="宋体"/>
                <w:color w:val="000000"/>
                <w:sz w:val="24"/>
                <w:szCs w:val="24"/>
              </w:rPr>
              <w:t>投标文件的商务条款</w:t>
            </w:r>
          </w:p>
        </w:tc>
        <w:tc>
          <w:tcPr>
            <w:tcW w:w="3261" w:type="dxa"/>
          </w:tcPr>
          <w:p w14:paraId="4EA0EA12">
            <w:pPr>
              <w:spacing w:before="240" w:after="240"/>
              <w:jc w:val="center"/>
              <w:rPr>
                <w:rFonts w:ascii="宋体" w:hAnsi="宋体"/>
                <w:color w:val="000000"/>
                <w:sz w:val="24"/>
                <w:szCs w:val="24"/>
              </w:rPr>
            </w:pPr>
            <w:r>
              <w:rPr>
                <w:rFonts w:ascii="宋体" w:hAnsi="宋体"/>
                <w:color w:val="000000"/>
                <w:sz w:val="24"/>
                <w:szCs w:val="24"/>
              </w:rPr>
              <w:t>说明（需注明正偏离/负偏离；需对偏离部分做详细说明）</w:t>
            </w:r>
          </w:p>
        </w:tc>
      </w:tr>
      <w:tr w14:paraId="217FD9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tcPr>
          <w:p w14:paraId="5F7A5BB3">
            <w:pPr>
              <w:spacing w:before="240" w:after="240"/>
              <w:rPr>
                <w:rFonts w:ascii="宋体" w:hAnsi="宋体"/>
                <w:color w:val="000000"/>
                <w:sz w:val="24"/>
                <w:szCs w:val="24"/>
              </w:rPr>
            </w:pPr>
          </w:p>
        </w:tc>
        <w:tc>
          <w:tcPr>
            <w:tcW w:w="1920" w:type="dxa"/>
          </w:tcPr>
          <w:p w14:paraId="741CCA1A">
            <w:pPr>
              <w:spacing w:before="240" w:after="240"/>
              <w:rPr>
                <w:rFonts w:ascii="宋体" w:hAnsi="宋体"/>
                <w:color w:val="000000"/>
                <w:sz w:val="24"/>
                <w:szCs w:val="24"/>
              </w:rPr>
            </w:pPr>
          </w:p>
        </w:tc>
        <w:tc>
          <w:tcPr>
            <w:tcW w:w="1591" w:type="dxa"/>
          </w:tcPr>
          <w:p w14:paraId="0F822CC0">
            <w:pPr>
              <w:spacing w:before="240" w:after="240"/>
              <w:rPr>
                <w:rFonts w:ascii="宋体" w:hAnsi="宋体"/>
                <w:color w:val="000000"/>
                <w:sz w:val="24"/>
                <w:szCs w:val="24"/>
              </w:rPr>
            </w:pPr>
          </w:p>
        </w:tc>
        <w:tc>
          <w:tcPr>
            <w:tcW w:w="1559" w:type="dxa"/>
          </w:tcPr>
          <w:p w14:paraId="0FFB8B68">
            <w:pPr>
              <w:spacing w:before="240" w:after="240"/>
              <w:rPr>
                <w:rFonts w:ascii="宋体" w:hAnsi="宋体"/>
                <w:color w:val="000000"/>
                <w:sz w:val="24"/>
                <w:szCs w:val="24"/>
              </w:rPr>
            </w:pPr>
          </w:p>
        </w:tc>
        <w:tc>
          <w:tcPr>
            <w:tcW w:w="3261" w:type="dxa"/>
          </w:tcPr>
          <w:p w14:paraId="401FDD76">
            <w:pPr>
              <w:spacing w:before="240" w:after="240"/>
              <w:rPr>
                <w:rFonts w:ascii="宋体" w:hAnsi="宋体"/>
                <w:color w:val="000000"/>
                <w:sz w:val="24"/>
                <w:szCs w:val="24"/>
              </w:rPr>
            </w:pPr>
          </w:p>
        </w:tc>
      </w:tr>
      <w:tr w14:paraId="18AF02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tcPr>
          <w:p w14:paraId="40B691C1">
            <w:pPr>
              <w:spacing w:before="240" w:after="240"/>
              <w:rPr>
                <w:rFonts w:ascii="宋体" w:hAnsi="宋体"/>
                <w:color w:val="000000"/>
                <w:sz w:val="24"/>
                <w:szCs w:val="24"/>
              </w:rPr>
            </w:pPr>
          </w:p>
        </w:tc>
        <w:tc>
          <w:tcPr>
            <w:tcW w:w="1920" w:type="dxa"/>
          </w:tcPr>
          <w:p w14:paraId="37025E46">
            <w:pPr>
              <w:spacing w:before="240" w:after="240"/>
              <w:rPr>
                <w:rFonts w:ascii="宋体" w:hAnsi="宋体"/>
                <w:color w:val="000000"/>
                <w:sz w:val="24"/>
                <w:szCs w:val="24"/>
              </w:rPr>
            </w:pPr>
          </w:p>
        </w:tc>
        <w:tc>
          <w:tcPr>
            <w:tcW w:w="1591" w:type="dxa"/>
          </w:tcPr>
          <w:p w14:paraId="70E77001">
            <w:pPr>
              <w:spacing w:before="240" w:after="240"/>
              <w:rPr>
                <w:rFonts w:ascii="宋体" w:hAnsi="宋体"/>
                <w:color w:val="000000"/>
                <w:sz w:val="24"/>
                <w:szCs w:val="24"/>
              </w:rPr>
            </w:pPr>
          </w:p>
        </w:tc>
        <w:tc>
          <w:tcPr>
            <w:tcW w:w="1559" w:type="dxa"/>
          </w:tcPr>
          <w:p w14:paraId="79C0C8A0">
            <w:pPr>
              <w:spacing w:before="240" w:after="240"/>
              <w:rPr>
                <w:rFonts w:ascii="宋体" w:hAnsi="宋体"/>
                <w:color w:val="000000"/>
                <w:sz w:val="24"/>
                <w:szCs w:val="24"/>
              </w:rPr>
            </w:pPr>
          </w:p>
        </w:tc>
        <w:tc>
          <w:tcPr>
            <w:tcW w:w="3261" w:type="dxa"/>
          </w:tcPr>
          <w:p w14:paraId="73DDA279">
            <w:pPr>
              <w:spacing w:before="240" w:after="240"/>
              <w:rPr>
                <w:rFonts w:ascii="宋体" w:hAnsi="宋体"/>
                <w:color w:val="000000"/>
                <w:sz w:val="24"/>
                <w:szCs w:val="24"/>
              </w:rPr>
            </w:pPr>
          </w:p>
        </w:tc>
      </w:tr>
      <w:tr w14:paraId="261731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tcPr>
          <w:p w14:paraId="0CECB88F">
            <w:pPr>
              <w:spacing w:before="240" w:after="240"/>
              <w:rPr>
                <w:rFonts w:ascii="宋体" w:hAnsi="宋体"/>
                <w:color w:val="000000"/>
                <w:sz w:val="24"/>
                <w:szCs w:val="24"/>
              </w:rPr>
            </w:pPr>
          </w:p>
        </w:tc>
        <w:tc>
          <w:tcPr>
            <w:tcW w:w="1920" w:type="dxa"/>
          </w:tcPr>
          <w:p w14:paraId="7070F168">
            <w:pPr>
              <w:spacing w:before="240" w:after="240"/>
              <w:rPr>
                <w:rFonts w:ascii="宋体" w:hAnsi="宋体"/>
                <w:color w:val="000000"/>
                <w:sz w:val="24"/>
                <w:szCs w:val="24"/>
              </w:rPr>
            </w:pPr>
          </w:p>
        </w:tc>
        <w:tc>
          <w:tcPr>
            <w:tcW w:w="1591" w:type="dxa"/>
          </w:tcPr>
          <w:p w14:paraId="37EA0A1C">
            <w:pPr>
              <w:spacing w:before="240" w:after="240"/>
              <w:rPr>
                <w:rFonts w:ascii="宋体" w:hAnsi="宋体"/>
                <w:color w:val="000000"/>
                <w:sz w:val="24"/>
                <w:szCs w:val="24"/>
              </w:rPr>
            </w:pPr>
          </w:p>
        </w:tc>
        <w:tc>
          <w:tcPr>
            <w:tcW w:w="1559" w:type="dxa"/>
          </w:tcPr>
          <w:p w14:paraId="28929A3B">
            <w:pPr>
              <w:spacing w:before="240" w:after="240"/>
              <w:rPr>
                <w:rFonts w:ascii="宋体" w:hAnsi="宋体"/>
                <w:color w:val="000000"/>
                <w:sz w:val="24"/>
                <w:szCs w:val="24"/>
              </w:rPr>
            </w:pPr>
          </w:p>
        </w:tc>
        <w:tc>
          <w:tcPr>
            <w:tcW w:w="3261" w:type="dxa"/>
          </w:tcPr>
          <w:p w14:paraId="1B339CE8">
            <w:pPr>
              <w:spacing w:before="240" w:after="240"/>
              <w:rPr>
                <w:rFonts w:ascii="宋体" w:hAnsi="宋体"/>
                <w:color w:val="000000"/>
                <w:sz w:val="24"/>
                <w:szCs w:val="24"/>
              </w:rPr>
            </w:pPr>
          </w:p>
        </w:tc>
      </w:tr>
      <w:tr w14:paraId="4DE795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tcPr>
          <w:p w14:paraId="62C34420">
            <w:pPr>
              <w:spacing w:before="240" w:after="240"/>
              <w:rPr>
                <w:rFonts w:ascii="宋体" w:hAnsi="宋体"/>
                <w:color w:val="000000"/>
                <w:sz w:val="24"/>
                <w:szCs w:val="24"/>
              </w:rPr>
            </w:pPr>
          </w:p>
        </w:tc>
        <w:tc>
          <w:tcPr>
            <w:tcW w:w="1920" w:type="dxa"/>
          </w:tcPr>
          <w:p w14:paraId="78197ABB">
            <w:pPr>
              <w:spacing w:before="240" w:after="240"/>
              <w:rPr>
                <w:rFonts w:ascii="宋体" w:hAnsi="宋体"/>
                <w:color w:val="000000"/>
                <w:sz w:val="24"/>
                <w:szCs w:val="24"/>
              </w:rPr>
            </w:pPr>
          </w:p>
        </w:tc>
        <w:tc>
          <w:tcPr>
            <w:tcW w:w="1591" w:type="dxa"/>
          </w:tcPr>
          <w:p w14:paraId="0486427C">
            <w:pPr>
              <w:spacing w:before="240" w:after="240"/>
              <w:rPr>
                <w:rFonts w:ascii="宋体" w:hAnsi="宋体"/>
                <w:color w:val="000000"/>
                <w:sz w:val="24"/>
                <w:szCs w:val="24"/>
              </w:rPr>
            </w:pPr>
          </w:p>
        </w:tc>
        <w:tc>
          <w:tcPr>
            <w:tcW w:w="1559" w:type="dxa"/>
          </w:tcPr>
          <w:p w14:paraId="2DB14DEA">
            <w:pPr>
              <w:spacing w:before="240" w:after="240"/>
              <w:rPr>
                <w:rFonts w:ascii="宋体" w:hAnsi="宋体"/>
                <w:color w:val="000000"/>
                <w:sz w:val="24"/>
                <w:szCs w:val="24"/>
              </w:rPr>
            </w:pPr>
          </w:p>
        </w:tc>
        <w:tc>
          <w:tcPr>
            <w:tcW w:w="3261" w:type="dxa"/>
          </w:tcPr>
          <w:p w14:paraId="0606CCB3">
            <w:pPr>
              <w:spacing w:before="240" w:after="240"/>
              <w:rPr>
                <w:rFonts w:ascii="宋体" w:hAnsi="宋体"/>
                <w:color w:val="000000"/>
                <w:sz w:val="24"/>
                <w:szCs w:val="24"/>
              </w:rPr>
            </w:pPr>
          </w:p>
        </w:tc>
      </w:tr>
      <w:tr w14:paraId="0C651B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tcPr>
          <w:p w14:paraId="485DD70A">
            <w:pPr>
              <w:spacing w:before="240" w:after="240"/>
              <w:rPr>
                <w:rFonts w:ascii="宋体" w:hAnsi="宋体"/>
                <w:color w:val="000000"/>
                <w:sz w:val="24"/>
                <w:szCs w:val="24"/>
              </w:rPr>
            </w:pPr>
          </w:p>
        </w:tc>
        <w:tc>
          <w:tcPr>
            <w:tcW w:w="1920" w:type="dxa"/>
          </w:tcPr>
          <w:p w14:paraId="530F682F">
            <w:pPr>
              <w:spacing w:before="240" w:after="240"/>
              <w:rPr>
                <w:rFonts w:ascii="宋体" w:hAnsi="宋体"/>
                <w:color w:val="000000"/>
                <w:sz w:val="24"/>
                <w:szCs w:val="24"/>
              </w:rPr>
            </w:pPr>
          </w:p>
        </w:tc>
        <w:tc>
          <w:tcPr>
            <w:tcW w:w="1591" w:type="dxa"/>
          </w:tcPr>
          <w:p w14:paraId="111CACD7">
            <w:pPr>
              <w:spacing w:before="240" w:after="240"/>
              <w:rPr>
                <w:rFonts w:ascii="宋体" w:hAnsi="宋体"/>
                <w:color w:val="000000"/>
                <w:sz w:val="24"/>
                <w:szCs w:val="24"/>
              </w:rPr>
            </w:pPr>
          </w:p>
        </w:tc>
        <w:tc>
          <w:tcPr>
            <w:tcW w:w="1559" w:type="dxa"/>
          </w:tcPr>
          <w:p w14:paraId="141F7ED0">
            <w:pPr>
              <w:spacing w:before="240" w:after="240"/>
              <w:rPr>
                <w:rFonts w:ascii="宋体" w:hAnsi="宋体"/>
                <w:color w:val="000000"/>
                <w:sz w:val="24"/>
                <w:szCs w:val="24"/>
              </w:rPr>
            </w:pPr>
          </w:p>
        </w:tc>
        <w:tc>
          <w:tcPr>
            <w:tcW w:w="3261" w:type="dxa"/>
          </w:tcPr>
          <w:p w14:paraId="1750A8B6">
            <w:pPr>
              <w:spacing w:before="240" w:after="240"/>
              <w:rPr>
                <w:rFonts w:ascii="宋体" w:hAnsi="宋体"/>
                <w:color w:val="000000"/>
                <w:sz w:val="24"/>
                <w:szCs w:val="24"/>
              </w:rPr>
            </w:pPr>
          </w:p>
        </w:tc>
      </w:tr>
      <w:tr w14:paraId="237EC6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tcPr>
          <w:p w14:paraId="1DEEC85F">
            <w:pPr>
              <w:spacing w:before="240" w:after="240"/>
              <w:rPr>
                <w:rFonts w:ascii="宋体" w:hAnsi="宋体"/>
                <w:color w:val="000000"/>
                <w:sz w:val="24"/>
                <w:szCs w:val="24"/>
              </w:rPr>
            </w:pPr>
          </w:p>
        </w:tc>
        <w:tc>
          <w:tcPr>
            <w:tcW w:w="1920" w:type="dxa"/>
          </w:tcPr>
          <w:p w14:paraId="6C899EBB">
            <w:pPr>
              <w:spacing w:before="240" w:after="240"/>
              <w:rPr>
                <w:rFonts w:ascii="宋体" w:hAnsi="宋体"/>
                <w:color w:val="000000"/>
                <w:sz w:val="24"/>
                <w:szCs w:val="24"/>
              </w:rPr>
            </w:pPr>
          </w:p>
        </w:tc>
        <w:tc>
          <w:tcPr>
            <w:tcW w:w="1591" w:type="dxa"/>
          </w:tcPr>
          <w:p w14:paraId="769B4AF1">
            <w:pPr>
              <w:spacing w:before="240" w:after="240"/>
              <w:rPr>
                <w:rFonts w:ascii="宋体" w:hAnsi="宋体"/>
                <w:color w:val="000000"/>
                <w:sz w:val="24"/>
                <w:szCs w:val="24"/>
              </w:rPr>
            </w:pPr>
          </w:p>
        </w:tc>
        <w:tc>
          <w:tcPr>
            <w:tcW w:w="1559" w:type="dxa"/>
          </w:tcPr>
          <w:p w14:paraId="3E96E5AE">
            <w:pPr>
              <w:spacing w:before="240" w:after="240"/>
              <w:rPr>
                <w:rFonts w:ascii="宋体" w:hAnsi="宋体"/>
                <w:color w:val="000000"/>
                <w:sz w:val="24"/>
                <w:szCs w:val="24"/>
              </w:rPr>
            </w:pPr>
          </w:p>
        </w:tc>
        <w:tc>
          <w:tcPr>
            <w:tcW w:w="3261" w:type="dxa"/>
          </w:tcPr>
          <w:p w14:paraId="3DF60DDE">
            <w:pPr>
              <w:spacing w:before="240" w:after="240"/>
              <w:rPr>
                <w:rFonts w:ascii="宋体" w:hAnsi="宋体"/>
                <w:color w:val="000000"/>
                <w:sz w:val="24"/>
                <w:szCs w:val="24"/>
              </w:rPr>
            </w:pPr>
          </w:p>
        </w:tc>
      </w:tr>
      <w:tr w14:paraId="16F329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tcPr>
          <w:p w14:paraId="518B65B2">
            <w:pPr>
              <w:spacing w:before="240" w:after="240"/>
              <w:rPr>
                <w:rFonts w:ascii="宋体" w:hAnsi="宋体"/>
                <w:color w:val="000000"/>
                <w:sz w:val="24"/>
                <w:szCs w:val="24"/>
              </w:rPr>
            </w:pPr>
          </w:p>
        </w:tc>
        <w:tc>
          <w:tcPr>
            <w:tcW w:w="1920" w:type="dxa"/>
          </w:tcPr>
          <w:p w14:paraId="6BC94E0E">
            <w:pPr>
              <w:spacing w:before="240" w:after="240"/>
              <w:rPr>
                <w:rFonts w:ascii="宋体" w:hAnsi="宋体"/>
                <w:color w:val="000000"/>
                <w:sz w:val="24"/>
                <w:szCs w:val="24"/>
              </w:rPr>
            </w:pPr>
          </w:p>
        </w:tc>
        <w:tc>
          <w:tcPr>
            <w:tcW w:w="1591" w:type="dxa"/>
          </w:tcPr>
          <w:p w14:paraId="24C45A9C">
            <w:pPr>
              <w:spacing w:before="240" w:after="240"/>
              <w:rPr>
                <w:rFonts w:ascii="宋体" w:hAnsi="宋体"/>
                <w:color w:val="000000"/>
                <w:sz w:val="24"/>
                <w:szCs w:val="24"/>
              </w:rPr>
            </w:pPr>
          </w:p>
        </w:tc>
        <w:tc>
          <w:tcPr>
            <w:tcW w:w="1559" w:type="dxa"/>
          </w:tcPr>
          <w:p w14:paraId="1BD4DF53">
            <w:pPr>
              <w:spacing w:before="240" w:after="240"/>
              <w:rPr>
                <w:rFonts w:ascii="宋体" w:hAnsi="宋体"/>
                <w:color w:val="000000"/>
                <w:sz w:val="24"/>
                <w:szCs w:val="24"/>
              </w:rPr>
            </w:pPr>
          </w:p>
        </w:tc>
        <w:tc>
          <w:tcPr>
            <w:tcW w:w="3261" w:type="dxa"/>
          </w:tcPr>
          <w:p w14:paraId="50884606">
            <w:pPr>
              <w:spacing w:before="240" w:after="240"/>
              <w:rPr>
                <w:rFonts w:ascii="宋体" w:hAnsi="宋体"/>
                <w:color w:val="000000"/>
                <w:sz w:val="24"/>
                <w:szCs w:val="24"/>
              </w:rPr>
            </w:pPr>
          </w:p>
        </w:tc>
      </w:tr>
      <w:tr w14:paraId="6D2F0E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tcPr>
          <w:p w14:paraId="099E0E7A">
            <w:pPr>
              <w:spacing w:before="240" w:after="240"/>
              <w:rPr>
                <w:rFonts w:ascii="宋体" w:hAnsi="宋体"/>
                <w:color w:val="000000"/>
                <w:sz w:val="24"/>
                <w:szCs w:val="24"/>
              </w:rPr>
            </w:pPr>
          </w:p>
        </w:tc>
        <w:tc>
          <w:tcPr>
            <w:tcW w:w="1920" w:type="dxa"/>
          </w:tcPr>
          <w:p w14:paraId="0F9E09B5">
            <w:pPr>
              <w:spacing w:before="240" w:after="240"/>
              <w:rPr>
                <w:rFonts w:ascii="宋体" w:hAnsi="宋体"/>
                <w:color w:val="000000"/>
                <w:sz w:val="24"/>
                <w:szCs w:val="24"/>
              </w:rPr>
            </w:pPr>
          </w:p>
        </w:tc>
        <w:tc>
          <w:tcPr>
            <w:tcW w:w="1591" w:type="dxa"/>
          </w:tcPr>
          <w:p w14:paraId="3CE71EC0">
            <w:pPr>
              <w:spacing w:before="240" w:after="240"/>
              <w:rPr>
                <w:rFonts w:ascii="宋体" w:hAnsi="宋体"/>
                <w:color w:val="000000"/>
                <w:sz w:val="24"/>
                <w:szCs w:val="24"/>
              </w:rPr>
            </w:pPr>
          </w:p>
        </w:tc>
        <w:tc>
          <w:tcPr>
            <w:tcW w:w="1559" w:type="dxa"/>
          </w:tcPr>
          <w:p w14:paraId="099375DC">
            <w:pPr>
              <w:spacing w:before="240" w:after="240"/>
              <w:rPr>
                <w:rFonts w:ascii="宋体" w:hAnsi="宋体"/>
                <w:color w:val="000000"/>
                <w:sz w:val="24"/>
                <w:szCs w:val="24"/>
              </w:rPr>
            </w:pPr>
          </w:p>
        </w:tc>
        <w:tc>
          <w:tcPr>
            <w:tcW w:w="3261" w:type="dxa"/>
          </w:tcPr>
          <w:p w14:paraId="791D1EAF">
            <w:pPr>
              <w:spacing w:before="240" w:after="240"/>
              <w:rPr>
                <w:rFonts w:ascii="宋体" w:hAnsi="宋体"/>
                <w:color w:val="000000"/>
                <w:sz w:val="24"/>
                <w:szCs w:val="24"/>
              </w:rPr>
            </w:pPr>
          </w:p>
        </w:tc>
      </w:tr>
      <w:tr w14:paraId="7D4D41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tcPr>
          <w:p w14:paraId="4148050B">
            <w:pPr>
              <w:spacing w:before="240" w:after="240"/>
              <w:rPr>
                <w:rFonts w:ascii="宋体" w:hAnsi="宋体"/>
                <w:color w:val="000000"/>
                <w:sz w:val="24"/>
                <w:szCs w:val="24"/>
              </w:rPr>
            </w:pPr>
          </w:p>
        </w:tc>
        <w:tc>
          <w:tcPr>
            <w:tcW w:w="1920" w:type="dxa"/>
          </w:tcPr>
          <w:p w14:paraId="02F65470">
            <w:pPr>
              <w:spacing w:before="240" w:after="240"/>
              <w:rPr>
                <w:rFonts w:ascii="宋体" w:hAnsi="宋体"/>
                <w:color w:val="000000"/>
                <w:sz w:val="24"/>
                <w:szCs w:val="24"/>
              </w:rPr>
            </w:pPr>
          </w:p>
        </w:tc>
        <w:tc>
          <w:tcPr>
            <w:tcW w:w="1591" w:type="dxa"/>
          </w:tcPr>
          <w:p w14:paraId="3F11ED35">
            <w:pPr>
              <w:spacing w:before="240" w:after="240"/>
              <w:rPr>
                <w:rFonts w:ascii="宋体" w:hAnsi="宋体"/>
                <w:color w:val="000000"/>
                <w:sz w:val="24"/>
                <w:szCs w:val="24"/>
              </w:rPr>
            </w:pPr>
          </w:p>
        </w:tc>
        <w:tc>
          <w:tcPr>
            <w:tcW w:w="1559" w:type="dxa"/>
          </w:tcPr>
          <w:p w14:paraId="2DC5DDA7">
            <w:pPr>
              <w:spacing w:before="240" w:after="240"/>
              <w:rPr>
                <w:rFonts w:ascii="宋体" w:hAnsi="宋体"/>
                <w:color w:val="000000"/>
                <w:sz w:val="24"/>
                <w:szCs w:val="24"/>
              </w:rPr>
            </w:pPr>
          </w:p>
        </w:tc>
        <w:tc>
          <w:tcPr>
            <w:tcW w:w="3261" w:type="dxa"/>
          </w:tcPr>
          <w:p w14:paraId="1AD52085">
            <w:pPr>
              <w:spacing w:before="240" w:after="240"/>
              <w:rPr>
                <w:rFonts w:ascii="宋体" w:hAnsi="宋体"/>
                <w:color w:val="000000"/>
                <w:sz w:val="24"/>
                <w:szCs w:val="24"/>
              </w:rPr>
            </w:pPr>
          </w:p>
        </w:tc>
      </w:tr>
      <w:tr w14:paraId="3F837B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tcPr>
          <w:p w14:paraId="17D37B11">
            <w:pPr>
              <w:spacing w:before="240" w:after="240"/>
              <w:rPr>
                <w:rFonts w:ascii="宋体" w:hAnsi="宋体"/>
                <w:color w:val="000000"/>
                <w:sz w:val="24"/>
                <w:szCs w:val="24"/>
              </w:rPr>
            </w:pPr>
          </w:p>
        </w:tc>
        <w:tc>
          <w:tcPr>
            <w:tcW w:w="1920" w:type="dxa"/>
          </w:tcPr>
          <w:p w14:paraId="272502E2">
            <w:pPr>
              <w:spacing w:before="240" w:after="240"/>
              <w:rPr>
                <w:rFonts w:ascii="宋体" w:hAnsi="宋体"/>
                <w:color w:val="000000"/>
                <w:sz w:val="24"/>
                <w:szCs w:val="24"/>
              </w:rPr>
            </w:pPr>
          </w:p>
        </w:tc>
        <w:tc>
          <w:tcPr>
            <w:tcW w:w="1591" w:type="dxa"/>
          </w:tcPr>
          <w:p w14:paraId="51EC6B6C">
            <w:pPr>
              <w:spacing w:before="240" w:after="240"/>
              <w:rPr>
                <w:rFonts w:ascii="宋体" w:hAnsi="宋体"/>
                <w:color w:val="000000"/>
                <w:sz w:val="24"/>
                <w:szCs w:val="24"/>
              </w:rPr>
            </w:pPr>
          </w:p>
        </w:tc>
        <w:tc>
          <w:tcPr>
            <w:tcW w:w="1559" w:type="dxa"/>
          </w:tcPr>
          <w:p w14:paraId="75E1E779">
            <w:pPr>
              <w:spacing w:before="240" w:after="240"/>
              <w:rPr>
                <w:rFonts w:ascii="宋体" w:hAnsi="宋体"/>
                <w:color w:val="000000"/>
                <w:sz w:val="24"/>
                <w:szCs w:val="24"/>
              </w:rPr>
            </w:pPr>
          </w:p>
        </w:tc>
        <w:tc>
          <w:tcPr>
            <w:tcW w:w="3261" w:type="dxa"/>
          </w:tcPr>
          <w:p w14:paraId="7679F39B">
            <w:pPr>
              <w:spacing w:before="240" w:after="240"/>
              <w:rPr>
                <w:rFonts w:ascii="宋体" w:hAnsi="宋体"/>
                <w:color w:val="000000"/>
                <w:sz w:val="24"/>
                <w:szCs w:val="24"/>
              </w:rPr>
            </w:pPr>
          </w:p>
        </w:tc>
      </w:tr>
      <w:tr w14:paraId="243155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tcPr>
          <w:p w14:paraId="3231DA2B">
            <w:pPr>
              <w:spacing w:before="240" w:after="240"/>
              <w:rPr>
                <w:rFonts w:ascii="宋体" w:hAnsi="宋体"/>
                <w:color w:val="000000"/>
                <w:sz w:val="24"/>
                <w:szCs w:val="24"/>
              </w:rPr>
            </w:pPr>
          </w:p>
        </w:tc>
        <w:tc>
          <w:tcPr>
            <w:tcW w:w="1920" w:type="dxa"/>
          </w:tcPr>
          <w:p w14:paraId="3D8B63E9">
            <w:pPr>
              <w:spacing w:before="240" w:after="240"/>
              <w:rPr>
                <w:rFonts w:ascii="宋体" w:hAnsi="宋体"/>
                <w:color w:val="000000"/>
                <w:sz w:val="24"/>
                <w:szCs w:val="24"/>
              </w:rPr>
            </w:pPr>
          </w:p>
        </w:tc>
        <w:tc>
          <w:tcPr>
            <w:tcW w:w="1591" w:type="dxa"/>
          </w:tcPr>
          <w:p w14:paraId="2784B5A4">
            <w:pPr>
              <w:spacing w:before="240" w:after="240"/>
              <w:rPr>
                <w:rFonts w:ascii="宋体" w:hAnsi="宋体"/>
                <w:color w:val="000000"/>
                <w:sz w:val="24"/>
                <w:szCs w:val="24"/>
              </w:rPr>
            </w:pPr>
          </w:p>
        </w:tc>
        <w:tc>
          <w:tcPr>
            <w:tcW w:w="1559" w:type="dxa"/>
          </w:tcPr>
          <w:p w14:paraId="29391FCF">
            <w:pPr>
              <w:spacing w:before="240" w:after="240"/>
              <w:rPr>
                <w:rFonts w:ascii="宋体" w:hAnsi="宋体"/>
                <w:color w:val="000000"/>
                <w:sz w:val="24"/>
                <w:szCs w:val="24"/>
              </w:rPr>
            </w:pPr>
          </w:p>
        </w:tc>
        <w:tc>
          <w:tcPr>
            <w:tcW w:w="3261" w:type="dxa"/>
          </w:tcPr>
          <w:p w14:paraId="0F8609C4">
            <w:pPr>
              <w:spacing w:before="240" w:after="240"/>
              <w:rPr>
                <w:rFonts w:ascii="宋体" w:hAnsi="宋体"/>
                <w:color w:val="000000"/>
                <w:sz w:val="24"/>
                <w:szCs w:val="24"/>
              </w:rPr>
            </w:pPr>
          </w:p>
        </w:tc>
      </w:tr>
    </w:tbl>
    <w:p w14:paraId="139EA427">
      <w:pPr>
        <w:rPr>
          <w:rFonts w:ascii="宋体" w:hAnsi="宋体"/>
          <w:b/>
          <w:color w:val="000000"/>
          <w:sz w:val="24"/>
          <w:szCs w:val="24"/>
        </w:rPr>
      </w:pPr>
    </w:p>
    <w:p w14:paraId="480C3419">
      <w:pPr>
        <w:ind w:left="482" w:hanging="482" w:hangingChars="200"/>
        <w:rPr>
          <w:color w:val="000000"/>
        </w:rPr>
      </w:pPr>
      <w:r>
        <w:rPr>
          <w:rFonts w:ascii="宋体" w:hAnsi="宋体"/>
          <w:b/>
          <w:color w:val="000000"/>
          <w:sz w:val="24"/>
          <w:szCs w:val="24"/>
        </w:rPr>
        <w:t>注</w:t>
      </w:r>
      <w:r>
        <w:rPr>
          <w:rFonts w:hint="eastAsia" w:ascii="宋体" w:hAnsi="宋体"/>
          <w:b/>
          <w:color w:val="000000"/>
          <w:sz w:val="24"/>
          <w:szCs w:val="24"/>
        </w:rPr>
        <w:t>：</w:t>
      </w:r>
      <w:r>
        <w:rPr>
          <w:rFonts w:hint="eastAsia" w:ascii="宋体" w:hAnsi="宋体"/>
          <w:color w:val="000000"/>
          <w:sz w:val="24"/>
          <w:szCs w:val="24"/>
        </w:rPr>
        <w:t>投标人必须对本招标文件第五章以外的其他章节的条款做出偏离说明（即正偏离/</w:t>
      </w:r>
      <w:r>
        <w:rPr>
          <w:rFonts w:ascii="宋体" w:hAnsi="宋体"/>
          <w:color w:val="000000"/>
          <w:sz w:val="24"/>
          <w:szCs w:val="24"/>
        </w:rPr>
        <w:t>负</w:t>
      </w:r>
      <w:r>
        <w:rPr>
          <w:rFonts w:hint="eastAsia" w:ascii="宋体" w:hAnsi="宋体"/>
          <w:color w:val="000000"/>
          <w:sz w:val="24"/>
          <w:szCs w:val="24"/>
        </w:rPr>
        <w:t>偏离）。未做出偏离说明的部分视同为无偏离。</w:t>
      </w:r>
    </w:p>
    <w:p w14:paraId="17378B4F">
      <w:pPr>
        <w:pStyle w:val="3"/>
        <w:rPr>
          <w:rFonts w:ascii="宋体" w:hAnsi="宋体" w:eastAsia="宋体"/>
          <w:color w:val="000000"/>
          <w:sz w:val="24"/>
          <w:szCs w:val="24"/>
        </w:rPr>
      </w:pPr>
      <w:r>
        <w:rPr>
          <w:rFonts w:hint="eastAsia" w:ascii="宋体" w:hAnsi="宋体" w:eastAsia="宋体"/>
          <w:b w:val="0"/>
          <w:bCs w:val="0"/>
          <w:color w:val="000000"/>
          <w:sz w:val="24"/>
          <w:szCs w:val="24"/>
        </w:rPr>
        <w:t xml:space="preserve">  </w:t>
      </w:r>
      <w:bookmarkStart w:id="67" w:name="_Toc73427858"/>
      <w:r>
        <w:rPr>
          <w:rFonts w:hint="eastAsia" w:ascii="宋体" w:hAnsi="宋体" w:eastAsia="宋体"/>
          <w:bCs w:val="0"/>
          <w:color w:val="000000"/>
          <w:sz w:val="24"/>
          <w:szCs w:val="24"/>
        </w:rPr>
        <w:t>附件</w:t>
      </w:r>
      <w:r>
        <w:rPr>
          <w:rFonts w:ascii="宋体" w:hAnsi="宋体" w:eastAsia="宋体"/>
          <w:color w:val="000000"/>
          <w:sz w:val="24"/>
          <w:szCs w:val="24"/>
        </w:rPr>
        <w:t>6</w:t>
      </w:r>
      <w:r>
        <w:rPr>
          <w:rFonts w:hint="eastAsia" w:ascii="宋体" w:hAnsi="宋体" w:eastAsia="宋体"/>
          <w:color w:val="000000"/>
          <w:sz w:val="24"/>
          <w:szCs w:val="24"/>
        </w:rPr>
        <w:t>.资格证明文件</w:t>
      </w:r>
      <w:bookmarkEnd w:id="67"/>
    </w:p>
    <w:p w14:paraId="48E82293">
      <w:pPr>
        <w:tabs>
          <w:tab w:val="left" w:pos="5580"/>
        </w:tabs>
        <w:spacing w:line="360" w:lineRule="auto"/>
        <w:rPr>
          <w:rFonts w:ascii="宋体" w:hAnsi="宋体"/>
          <w:color w:val="000000"/>
          <w:sz w:val="24"/>
        </w:rPr>
      </w:pPr>
      <w:r>
        <w:rPr>
          <w:rFonts w:ascii="宋体" w:hAnsi="宋体"/>
          <w:color w:val="000000"/>
          <w:sz w:val="24"/>
        </w:rPr>
        <w:t>6</w:t>
      </w:r>
      <w:r>
        <w:rPr>
          <w:rFonts w:hint="eastAsia" w:ascii="宋体" w:hAnsi="宋体"/>
          <w:color w:val="000000"/>
          <w:sz w:val="24"/>
        </w:rPr>
        <w:t>-1 法人或其他组织的营业执照等证明文件</w:t>
      </w:r>
    </w:p>
    <w:p w14:paraId="0C83492E">
      <w:pPr>
        <w:tabs>
          <w:tab w:val="left" w:pos="5580"/>
        </w:tabs>
        <w:spacing w:line="360" w:lineRule="auto"/>
        <w:rPr>
          <w:rFonts w:ascii="宋体" w:hAnsi="宋体"/>
          <w:color w:val="000000"/>
          <w:sz w:val="24"/>
        </w:rPr>
      </w:pPr>
      <w:r>
        <w:rPr>
          <w:rFonts w:ascii="宋体" w:hAnsi="宋体"/>
          <w:color w:val="000000"/>
          <w:sz w:val="24"/>
        </w:rPr>
        <w:t>6</w:t>
      </w:r>
      <w:r>
        <w:rPr>
          <w:rFonts w:hint="eastAsia" w:ascii="宋体" w:hAnsi="宋体"/>
          <w:color w:val="000000"/>
          <w:sz w:val="24"/>
        </w:rPr>
        <w:t>-</w:t>
      </w:r>
      <w:r>
        <w:rPr>
          <w:rFonts w:ascii="宋体" w:hAnsi="宋体"/>
          <w:color w:val="000000"/>
          <w:sz w:val="24"/>
        </w:rPr>
        <w:t>2</w:t>
      </w:r>
      <w:r>
        <w:rPr>
          <w:rFonts w:hint="eastAsia" w:ascii="宋体" w:hAnsi="宋体"/>
          <w:color w:val="000000"/>
          <w:sz w:val="24"/>
        </w:rPr>
        <w:t xml:space="preserve"> 纳税证明</w:t>
      </w:r>
    </w:p>
    <w:p w14:paraId="239B3325">
      <w:pPr>
        <w:tabs>
          <w:tab w:val="left" w:pos="5580"/>
        </w:tabs>
        <w:spacing w:line="360" w:lineRule="auto"/>
        <w:rPr>
          <w:rFonts w:ascii="宋体" w:hAnsi="宋体"/>
          <w:color w:val="000000"/>
          <w:sz w:val="24"/>
        </w:rPr>
      </w:pPr>
      <w:r>
        <w:rPr>
          <w:rFonts w:hint="eastAsia" w:hAnsi="宋体"/>
          <w:bCs/>
          <w:color w:val="000000"/>
          <w:sz w:val="24"/>
        </w:rPr>
        <w:t>注：[提供开标日前</w:t>
      </w:r>
      <w:r>
        <w:rPr>
          <w:rFonts w:hAnsi="宋体"/>
          <w:bCs/>
          <w:color w:val="000000"/>
          <w:sz w:val="24"/>
        </w:rPr>
        <w:t>六</w:t>
      </w:r>
      <w:r>
        <w:rPr>
          <w:rFonts w:hint="eastAsia" w:hAnsi="宋体"/>
          <w:bCs/>
          <w:color w:val="000000"/>
          <w:sz w:val="24"/>
        </w:rPr>
        <w:t>个月内任意一个月的纳税证明（银行缴费凭证或税务机关开具的证明）复印件</w:t>
      </w:r>
      <w:r>
        <w:rPr>
          <w:rFonts w:hint="eastAsia" w:hAnsi="宋体"/>
          <w:color w:val="000000"/>
          <w:sz w:val="24"/>
        </w:rPr>
        <w:t>并</w:t>
      </w:r>
      <w:r>
        <w:rPr>
          <w:rFonts w:hint="eastAsia" w:hAnsi="宋体"/>
          <w:bCs/>
          <w:color w:val="000000"/>
          <w:sz w:val="24"/>
        </w:rPr>
        <w:t>加盖本单位公章。依法免税的投标人，应提供相应文件证明其依法免税]</w:t>
      </w:r>
    </w:p>
    <w:p w14:paraId="1405C638">
      <w:pPr>
        <w:tabs>
          <w:tab w:val="left" w:pos="5580"/>
        </w:tabs>
        <w:spacing w:line="360" w:lineRule="auto"/>
        <w:rPr>
          <w:rFonts w:ascii="宋体" w:hAnsi="宋体"/>
          <w:color w:val="000000"/>
          <w:sz w:val="24"/>
        </w:rPr>
      </w:pPr>
      <w:r>
        <w:rPr>
          <w:rFonts w:ascii="宋体" w:hAnsi="宋体"/>
          <w:color w:val="000000"/>
          <w:sz w:val="24"/>
        </w:rPr>
        <w:t>6</w:t>
      </w:r>
      <w:r>
        <w:rPr>
          <w:rFonts w:hint="eastAsia" w:ascii="宋体" w:hAnsi="宋体"/>
          <w:color w:val="000000"/>
          <w:sz w:val="24"/>
        </w:rPr>
        <w:t>-</w:t>
      </w:r>
      <w:r>
        <w:rPr>
          <w:rFonts w:ascii="宋体" w:hAnsi="宋体"/>
          <w:color w:val="000000"/>
          <w:sz w:val="24"/>
        </w:rPr>
        <w:t>3</w:t>
      </w:r>
      <w:r>
        <w:rPr>
          <w:rFonts w:hint="eastAsia" w:ascii="宋体" w:hAnsi="宋体"/>
          <w:color w:val="000000"/>
          <w:sz w:val="24"/>
        </w:rPr>
        <w:t xml:space="preserve"> 法定代表人授权书（格式）</w:t>
      </w:r>
    </w:p>
    <w:p w14:paraId="3C921987">
      <w:pPr>
        <w:tabs>
          <w:tab w:val="left" w:pos="5580"/>
        </w:tabs>
        <w:spacing w:line="360" w:lineRule="auto"/>
        <w:rPr>
          <w:rFonts w:ascii="宋体" w:hAnsi="宋体"/>
          <w:color w:val="000000"/>
          <w:sz w:val="24"/>
        </w:rPr>
      </w:pPr>
      <w:r>
        <w:rPr>
          <w:rFonts w:ascii="宋体" w:hAnsi="宋体"/>
          <w:color w:val="000000"/>
          <w:sz w:val="24"/>
        </w:rPr>
        <w:t>6</w:t>
      </w:r>
      <w:r>
        <w:rPr>
          <w:rFonts w:hint="eastAsia" w:ascii="宋体" w:hAnsi="宋体"/>
          <w:color w:val="000000"/>
          <w:sz w:val="24"/>
        </w:rPr>
        <w:t>-</w:t>
      </w:r>
      <w:r>
        <w:rPr>
          <w:rFonts w:ascii="宋体" w:hAnsi="宋体"/>
          <w:color w:val="000000"/>
          <w:sz w:val="24"/>
        </w:rPr>
        <w:t>4</w:t>
      </w:r>
      <w:r>
        <w:rPr>
          <w:rFonts w:hint="eastAsia" w:ascii="宋体" w:hAnsi="宋体"/>
          <w:color w:val="000000"/>
          <w:sz w:val="24"/>
        </w:rPr>
        <w:t xml:space="preserve"> 投标人的资格声明（格式）</w:t>
      </w:r>
    </w:p>
    <w:p w14:paraId="4BEA18F3">
      <w:pPr>
        <w:tabs>
          <w:tab w:val="left" w:pos="5580"/>
        </w:tabs>
        <w:spacing w:line="360" w:lineRule="auto"/>
        <w:rPr>
          <w:rFonts w:ascii="宋体" w:hAnsi="宋体"/>
          <w:color w:val="000000"/>
          <w:sz w:val="24"/>
        </w:rPr>
      </w:pPr>
      <w:r>
        <w:rPr>
          <w:rFonts w:ascii="宋体" w:hAnsi="宋体"/>
          <w:color w:val="000000"/>
          <w:sz w:val="24"/>
        </w:rPr>
        <w:t>6</w:t>
      </w:r>
      <w:r>
        <w:rPr>
          <w:rFonts w:hint="eastAsia" w:ascii="宋体" w:hAnsi="宋体"/>
          <w:color w:val="000000"/>
          <w:sz w:val="24"/>
        </w:rPr>
        <w:t>-</w:t>
      </w:r>
      <w:r>
        <w:rPr>
          <w:rFonts w:ascii="宋体" w:hAnsi="宋体"/>
          <w:color w:val="000000"/>
          <w:sz w:val="24"/>
        </w:rPr>
        <w:t>5 投标人的</w:t>
      </w:r>
      <w:r>
        <w:rPr>
          <w:rFonts w:hint="eastAsia" w:ascii="宋体" w:hAnsi="宋体"/>
          <w:color w:val="000000"/>
          <w:sz w:val="24"/>
        </w:rPr>
        <w:t>财务状况报告：会计师事务所出具的2023年年度财务审计报告或银行出具的资信证明</w:t>
      </w:r>
    </w:p>
    <w:p w14:paraId="6ECBF200">
      <w:pPr>
        <w:tabs>
          <w:tab w:val="left" w:pos="5580"/>
        </w:tabs>
        <w:spacing w:line="360" w:lineRule="auto"/>
        <w:rPr>
          <w:rFonts w:ascii="宋体" w:hAnsi="宋体"/>
          <w:color w:val="000000"/>
          <w:sz w:val="24"/>
        </w:rPr>
      </w:pPr>
      <w:r>
        <w:rPr>
          <w:rFonts w:ascii="宋体" w:hAnsi="宋体"/>
          <w:color w:val="000000"/>
          <w:sz w:val="24"/>
        </w:rPr>
        <w:t>6</w:t>
      </w:r>
      <w:r>
        <w:rPr>
          <w:rFonts w:hint="eastAsia" w:ascii="宋体" w:hAnsi="宋体"/>
          <w:color w:val="000000"/>
          <w:sz w:val="24"/>
        </w:rPr>
        <w:t>-</w:t>
      </w:r>
      <w:r>
        <w:rPr>
          <w:rFonts w:ascii="宋体" w:hAnsi="宋体"/>
          <w:color w:val="000000"/>
          <w:sz w:val="24"/>
        </w:rPr>
        <w:t>6</w:t>
      </w:r>
      <w:r>
        <w:rPr>
          <w:rFonts w:hint="eastAsia" w:ascii="宋体" w:hAnsi="宋体"/>
          <w:color w:val="000000"/>
          <w:sz w:val="24"/>
        </w:rPr>
        <w:t xml:space="preserve"> 社会保障资金缴纳记录</w:t>
      </w:r>
    </w:p>
    <w:p w14:paraId="210FCE08">
      <w:pPr>
        <w:tabs>
          <w:tab w:val="left" w:pos="5580"/>
        </w:tabs>
        <w:spacing w:line="360" w:lineRule="auto"/>
        <w:rPr>
          <w:rFonts w:ascii="宋体" w:hAnsi="宋体"/>
          <w:color w:val="000000"/>
          <w:sz w:val="24"/>
        </w:rPr>
      </w:pPr>
      <w:r>
        <w:rPr>
          <w:rFonts w:hint="eastAsia" w:ascii="宋体" w:hAnsi="宋体"/>
          <w:color w:val="000000"/>
          <w:sz w:val="24"/>
        </w:rPr>
        <w:t>注：</w:t>
      </w:r>
      <w:r>
        <w:rPr>
          <w:rFonts w:hint="eastAsia" w:hAnsi="宋体"/>
          <w:bCs/>
          <w:color w:val="000000"/>
          <w:sz w:val="24"/>
        </w:rPr>
        <w:t>[提供开标日前</w:t>
      </w:r>
      <w:r>
        <w:rPr>
          <w:rFonts w:hAnsi="宋体"/>
          <w:bCs/>
          <w:color w:val="000000"/>
          <w:sz w:val="24"/>
        </w:rPr>
        <w:t>六</w:t>
      </w:r>
      <w:r>
        <w:rPr>
          <w:rFonts w:hint="eastAsia" w:hAnsi="宋体"/>
          <w:bCs/>
          <w:color w:val="000000"/>
          <w:sz w:val="24"/>
        </w:rPr>
        <w:t>个月内任意一个月的</w:t>
      </w:r>
      <w:r>
        <w:rPr>
          <w:rFonts w:hint="eastAsia" w:ascii="宋体" w:hAnsi="宋体"/>
          <w:color w:val="000000"/>
          <w:sz w:val="24"/>
        </w:rPr>
        <w:t>社会保障金缴纳记录（银行缴费单据或社保机构出具的证明）复印件并加盖公章。不需要缴纳社会保障资金的投标人，应提供相应文件证明其不需要缴纳社会保障资金</w:t>
      </w:r>
      <w:r>
        <w:rPr>
          <w:rFonts w:hint="eastAsia" w:hAnsi="宋体"/>
          <w:bCs/>
          <w:color w:val="000000"/>
          <w:sz w:val="24"/>
        </w:rPr>
        <w:t>]</w:t>
      </w:r>
    </w:p>
    <w:p w14:paraId="765FCF43">
      <w:pPr>
        <w:tabs>
          <w:tab w:val="left" w:pos="5580"/>
        </w:tabs>
        <w:spacing w:line="360" w:lineRule="auto"/>
        <w:rPr>
          <w:rFonts w:ascii="宋体" w:hAnsi="宋体"/>
          <w:color w:val="000000"/>
          <w:sz w:val="24"/>
        </w:rPr>
      </w:pPr>
      <w:r>
        <w:rPr>
          <w:rFonts w:ascii="宋体" w:hAnsi="宋体"/>
          <w:color w:val="000000"/>
          <w:sz w:val="24"/>
        </w:rPr>
        <w:t>6</w:t>
      </w:r>
      <w:r>
        <w:rPr>
          <w:rFonts w:hint="eastAsia" w:ascii="宋体" w:hAnsi="宋体"/>
          <w:color w:val="000000"/>
          <w:sz w:val="24"/>
        </w:rPr>
        <w:t>-</w:t>
      </w:r>
      <w:r>
        <w:rPr>
          <w:rFonts w:ascii="宋体" w:hAnsi="宋体"/>
          <w:color w:val="000000"/>
          <w:sz w:val="24"/>
        </w:rPr>
        <w:t>7</w:t>
      </w:r>
      <w:r>
        <w:rPr>
          <w:rFonts w:hint="eastAsia" w:ascii="宋体" w:hAnsi="宋体"/>
          <w:color w:val="000000"/>
          <w:sz w:val="24"/>
        </w:rPr>
        <w:t>具有履行合同所必需的设备和专业技术能力的证明材料</w:t>
      </w:r>
    </w:p>
    <w:p w14:paraId="549F2CAF">
      <w:pPr>
        <w:tabs>
          <w:tab w:val="left" w:pos="5580"/>
        </w:tabs>
        <w:spacing w:line="360" w:lineRule="auto"/>
        <w:rPr>
          <w:rFonts w:ascii="宋体" w:hAnsi="宋体"/>
          <w:color w:val="000000"/>
          <w:sz w:val="24"/>
        </w:rPr>
      </w:pPr>
      <w:r>
        <w:rPr>
          <w:rFonts w:ascii="宋体" w:hAnsi="宋体"/>
          <w:bCs/>
          <w:color w:val="000000"/>
          <w:sz w:val="24"/>
        </w:rPr>
        <w:t>6</w:t>
      </w:r>
      <w:r>
        <w:rPr>
          <w:rFonts w:hint="eastAsia" w:ascii="宋体" w:hAnsi="宋体"/>
          <w:bCs/>
          <w:color w:val="000000"/>
          <w:sz w:val="24"/>
        </w:rPr>
        <w:t>-</w:t>
      </w:r>
      <w:r>
        <w:rPr>
          <w:rFonts w:ascii="宋体" w:hAnsi="宋体"/>
          <w:bCs/>
          <w:color w:val="000000"/>
          <w:sz w:val="24"/>
        </w:rPr>
        <w:t>8</w:t>
      </w:r>
      <w:r>
        <w:rPr>
          <w:rFonts w:hint="eastAsia" w:ascii="宋体" w:hAnsi="宋体"/>
          <w:color w:val="000000"/>
          <w:sz w:val="24"/>
        </w:rPr>
        <w:t>投标人参加此采购活动近三年内，在经营活动中没有重大事故、违法记录的声明（格式）；在“信用中国”网站（www.creditchina.gov.cn）和中国政府采购网（www.ccgp.gov.cn）的信用信息查询记录截图（须加盖本单位公章。此信用信息查询记录截图的截止时间不能早于本项目投标截止时间前三个日历日）。招标代理机构将于投标截止时间后，将通过“信用中国”网站（</w:t>
      </w:r>
      <w:r>
        <w:fldChar w:fldCharType="begin"/>
      </w:r>
      <w:r>
        <w:instrText xml:space="preserve"> HYPERLINK "http://www.creditchina.gov.cn" </w:instrText>
      </w:r>
      <w:r>
        <w:fldChar w:fldCharType="separate"/>
      </w:r>
      <w:r>
        <w:rPr>
          <w:rStyle w:val="49"/>
          <w:rFonts w:hint="eastAsia" w:ascii="宋体" w:hAnsi="宋体"/>
          <w:color w:val="000000"/>
          <w:sz w:val="24"/>
        </w:rPr>
        <w:t>www.creditchina.gov.cn</w:t>
      </w:r>
      <w:r>
        <w:rPr>
          <w:rStyle w:val="49"/>
          <w:rFonts w:hint="eastAsia" w:ascii="宋体" w:hAnsi="宋体"/>
          <w:color w:val="000000"/>
          <w:sz w:val="24"/>
        </w:rPr>
        <w:fldChar w:fldCharType="end"/>
      </w:r>
      <w:r>
        <w:rPr>
          <w:rFonts w:hint="eastAsia" w:ascii="宋体" w:hAnsi="宋体"/>
          <w:color w:val="000000"/>
          <w:sz w:val="24"/>
        </w:rPr>
        <w:t>）和“中国政府采购网”（www.ccgp.gov.cn）等网站对投标人的信用信息进行核查。投标人的信用信息以招标代理机构核查的结果为准并将与其他评审资料一并留存。对列入失信被执行人、重大税收违法案件当事人名单、严重违法失信行为记录名单的供应商，将被拒绝其参与本次采购活动。</w:t>
      </w:r>
    </w:p>
    <w:p w14:paraId="79820C6A">
      <w:pPr>
        <w:spacing w:line="360" w:lineRule="auto"/>
        <w:ind w:left="600" w:hanging="600" w:hangingChars="250"/>
        <w:rPr>
          <w:rFonts w:ascii="宋体" w:hAnsi="宋体"/>
          <w:color w:val="000000"/>
          <w:sz w:val="24"/>
          <w:szCs w:val="24"/>
        </w:rPr>
      </w:pPr>
      <w:r>
        <w:rPr>
          <w:rFonts w:ascii="宋体" w:hAnsi="宋体"/>
          <w:color w:val="000000"/>
          <w:sz w:val="24"/>
        </w:rPr>
        <w:t>6</w:t>
      </w:r>
      <w:r>
        <w:rPr>
          <w:rFonts w:hint="eastAsia" w:ascii="宋体" w:hAnsi="宋体"/>
          <w:color w:val="000000"/>
          <w:sz w:val="24"/>
        </w:rPr>
        <w:t>-</w:t>
      </w:r>
      <w:r>
        <w:rPr>
          <w:rFonts w:ascii="宋体" w:hAnsi="宋体"/>
          <w:color w:val="000000"/>
          <w:sz w:val="24"/>
        </w:rPr>
        <w:t>9</w:t>
      </w:r>
      <w:r>
        <w:rPr>
          <w:rFonts w:hint="eastAsia" w:ascii="宋体" w:hAnsi="宋体"/>
          <w:color w:val="000000"/>
          <w:sz w:val="24"/>
        </w:rPr>
        <w:t>招标文件要求的其他证明文件（须加盖本单位公章）</w:t>
      </w:r>
    </w:p>
    <w:p w14:paraId="0D232C5B">
      <w:pPr>
        <w:spacing w:line="360" w:lineRule="auto"/>
        <w:rPr>
          <w:rFonts w:hAnsi="宋体"/>
          <w:b/>
          <w:color w:val="000000"/>
          <w:sz w:val="24"/>
        </w:rPr>
      </w:pPr>
    </w:p>
    <w:p w14:paraId="19695DA0">
      <w:pPr>
        <w:spacing w:line="360" w:lineRule="auto"/>
        <w:rPr>
          <w:rFonts w:hAnsi="宋体"/>
          <w:b/>
          <w:color w:val="000000"/>
          <w:sz w:val="24"/>
        </w:rPr>
      </w:pPr>
    </w:p>
    <w:p w14:paraId="7A39904C">
      <w:pPr>
        <w:spacing w:line="360" w:lineRule="auto"/>
        <w:rPr>
          <w:rFonts w:hAnsi="宋体"/>
          <w:b/>
          <w:color w:val="000000"/>
          <w:sz w:val="24"/>
        </w:rPr>
      </w:pPr>
    </w:p>
    <w:p w14:paraId="0D61B743">
      <w:pPr>
        <w:spacing w:line="360" w:lineRule="auto"/>
        <w:rPr>
          <w:rFonts w:hAnsi="宋体"/>
          <w:b/>
          <w:color w:val="000000"/>
          <w:sz w:val="24"/>
        </w:rPr>
      </w:pPr>
    </w:p>
    <w:p w14:paraId="78C03E5B">
      <w:pPr>
        <w:spacing w:line="360" w:lineRule="auto"/>
        <w:rPr>
          <w:rFonts w:hAnsi="宋体"/>
          <w:b/>
          <w:color w:val="000000"/>
          <w:sz w:val="24"/>
        </w:rPr>
      </w:pPr>
    </w:p>
    <w:p w14:paraId="02253208">
      <w:pPr>
        <w:jc w:val="center"/>
        <w:rPr>
          <w:rFonts w:ascii="宋体" w:hAnsi="宋体"/>
          <w:b/>
          <w:color w:val="000000"/>
          <w:sz w:val="24"/>
          <w:u w:val="single"/>
        </w:rPr>
      </w:pPr>
      <w:r>
        <w:rPr>
          <w:rFonts w:hint="eastAsia" w:ascii="宋体" w:hAnsi="宋体"/>
          <w:b/>
          <w:color w:val="000000"/>
          <w:sz w:val="24"/>
        </w:rPr>
        <w:t>附件</w:t>
      </w:r>
      <w:r>
        <w:rPr>
          <w:rFonts w:ascii="宋体" w:hAnsi="宋体"/>
          <w:b/>
          <w:color w:val="000000"/>
          <w:sz w:val="24"/>
        </w:rPr>
        <w:t>6</w:t>
      </w:r>
      <w:r>
        <w:rPr>
          <w:rFonts w:hint="eastAsia" w:ascii="宋体" w:hAnsi="宋体"/>
          <w:b/>
          <w:color w:val="000000"/>
          <w:sz w:val="24"/>
        </w:rPr>
        <w:t>-3    法定代表人授权书</w:t>
      </w:r>
      <w:r>
        <w:rPr>
          <w:rFonts w:ascii="宋体" w:hAnsi="宋体"/>
          <w:b/>
          <w:color w:val="000000"/>
          <w:sz w:val="24"/>
        </w:rPr>
        <w:t>(</w:t>
      </w:r>
      <w:r>
        <w:rPr>
          <w:rFonts w:hint="eastAsia" w:ascii="宋体" w:hAnsi="宋体"/>
          <w:b/>
          <w:color w:val="000000"/>
          <w:sz w:val="24"/>
        </w:rPr>
        <w:t>格式</w:t>
      </w:r>
      <w:r>
        <w:rPr>
          <w:rFonts w:ascii="宋体" w:hAnsi="宋体"/>
          <w:b/>
          <w:color w:val="000000"/>
          <w:sz w:val="24"/>
        </w:rPr>
        <w:t>)</w:t>
      </w:r>
    </w:p>
    <w:p w14:paraId="67FD11E1">
      <w:pPr>
        <w:pStyle w:val="22"/>
        <w:jc w:val="center"/>
        <w:rPr>
          <w:rFonts w:hAnsi="宋体"/>
          <w:color w:val="000000"/>
          <w:sz w:val="24"/>
        </w:rPr>
      </w:pPr>
      <w:r>
        <w:rPr>
          <w:rFonts w:hint="eastAsia" w:hAnsi="宋体"/>
          <w:color w:val="000000"/>
          <w:sz w:val="24"/>
          <w:u w:val="single"/>
        </w:rPr>
        <w:cr/>
      </w:r>
    </w:p>
    <w:p w14:paraId="72A3CEB0">
      <w:pPr>
        <w:pStyle w:val="22"/>
        <w:spacing w:line="360" w:lineRule="auto"/>
        <w:rPr>
          <w:rFonts w:hAnsi="宋体"/>
          <w:color w:val="000000"/>
          <w:sz w:val="24"/>
        </w:rPr>
      </w:pPr>
      <w:r>
        <w:rPr>
          <w:rFonts w:hAnsi="宋体"/>
          <w:color w:val="000000"/>
          <w:sz w:val="24"/>
        </w:rPr>
        <w:cr/>
      </w:r>
      <w:r>
        <w:rPr>
          <w:rFonts w:hint="eastAsia" w:hAnsi="宋体"/>
          <w:color w:val="000000"/>
          <w:sz w:val="24"/>
        </w:rPr>
        <w:t xml:space="preserve">    本授权书声明：注册于</w:t>
      </w:r>
      <w:r>
        <w:rPr>
          <w:rFonts w:hint="eastAsia" w:hAnsi="宋体"/>
          <w:color w:val="000000"/>
          <w:sz w:val="24"/>
          <w:u w:val="single"/>
        </w:rPr>
        <w:t>（国家或地区的名称）</w:t>
      </w:r>
      <w:r>
        <w:rPr>
          <w:rFonts w:hint="eastAsia" w:hAnsi="宋体"/>
          <w:color w:val="000000"/>
          <w:sz w:val="24"/>
        </w:rPr>
        <w:t>的（</w:t>
      </w:r>
      <w:r>
        <w:rPr>
          <w:rFonts w:hint="eastAsia" w:hAnsi="宋体"/>
          <w:color w:val="000000"/>
          <w:sz w:val="24"/>
          <w:u w:val="single"/>
        </w:rPr>
        <w:t>公司名称</w:t>
      </w:r>
      <w:r>
        <w:rPr>
          <w:rFonts w:hint="eastAsia" w:hAnsi="宋体"/>
          <w:color w:val="000000"/>
          <w:sz w:val="24"/>
        </w:rPr>
        <w:t>）的在下面签字的（</w:t>
      </w:r>
      <w:r>
        <w:rPr>
          <w:rFonts w:hint="eastAsia" w:hAnsi="宋体"/>
          <w:color w:val="000000"/>
          <w:sz w:val="24"/>
          <w:u w:val="single"/>
        </w:rPr>
        <w:t>法人代表姓名、职务</w:t>
      </w:r>
      <w:r>
        <w:rPr>
          <w:rFonts w:hint="eastAsia" w:hAnsi="宋体"/>
          <w:color w:val="000000"/>
          <w:sz w:val="24"/>
        </w:rPr>
        <w:t>）代表本公司授权（</w:t>
      </w:r>
      <w:r>
        <w:rPr>
          <w:rFonts w:hint="eastAsia" w:hAnsi="宋体"/>
          <w:color w:val="000000"/>
          <w:sz w:val="24"/>
          <w:u w:val="single"/>
        </w:rPr>
        <w:t>单位名称</w:t>
      </w:r>
      <w:r>
        <w:rPr>
          <w:rFonts w:hint="eastAsia" w:hAnsi="宋体"/>
          <w:color w:val="000000"/>
          <w:sz w:val="24"/>
        </w:rPr>
        <w:t>）的在下面签字的（</w:t>
      </w:r>
      <w:r>
        <w:rPr>
          <w:rFonts w:hint="eastAsia" w:hAnsi="宋体"/>
          <w:color w:val="000000"/>
          <w:sz w:val="24"/>
          <w:u w:val="single"/>
        </w:rPr>
        <w:t>被授权人的姓名、职务</w:t>
      </w:r>
      <w:r>
        <w:rPr>
          <w:rFonts w:hint="eastAsia" w:hAnsi="宋体"/>
          <w:color w:val="000000"/>
          <w:sz w:val="24"/>
        </w:rPr>
        <w:t>）为本公司的合法代理人，就（</w:t>
      </w:r>
      <w:r>
        <w:rPr>
          <w:rFonts w:hint="eastAsia" w:hAnsi="宋体"/>
          <w:color w:val="000000"/>
          <w:sz w:val="24"/>
          <w:u w:val="single"/>
        </w:rPr>
        <w:t>项目名称</w:t>
      </w:r>
      <w:r>
        <w:rPr>
          <w:rFonts w:hint="eastAsia" w:hAnsi="宋体"/>
          <w:color w:val="000000"/>
          <w:sz w:val="24"/>
        </w:rPr>
        <w:t>）的投标，以本公司名义处理一切与之有关的事务。</w:t>
      </w:r>
      <w:r>
        <w:rPr>
          <w:rFonts w:hint="eastAsia" w:hAnsi="宋体"/>
          <w:color w:val="000000"/>
          <w:sz w:val="24"/>
        </w:rPr>
        <w:cr/>
      </w:r>
      <w:r>
        <w:rPr>
          <w:rFonts w:hint="eastAsia" w:hAnsi="宋体"/>
          <w:color w:val="000000"/>
          <w:sz w:val="24"/>
        </w:rPr>
        <w:t>　　</w:t>
      </w:r>
    </w:p>
    <w:p w14:paraId="113D20A3">
      <w:pPr>
        <w:pStyle w:val="22"/>
        <w:tabs>
          <w:tab w:val="left" w:pos="5580"/>
        </w:tabs>
        <w:spacing w:line="360" w:lineRule="auto"/>
        <w:ind w:firstLine="480"/>
        <w:rPr>
          <w:rFonts w:hAnsi="宋体"/>
          <w:color w:val="000000"/>
          <w:sz w:val="24"/>
        </w:rPr>
      </w:pPr>
      <w:r>
        <w:rPr>
          <w:rFonts w:hint="eastAsia" w:hAnsi="宋体"/>
          <w:color w:val="000000"/>
          <w:sz w:val="24"/>
        </w:rPr>
        <w:t>本授权书于__________年_____月______日签字生效,特此声明。</w:t>
      </w:r>
      <w:r>
        <w:rPr>
          <w:rFonts w:hint="eastAsia" w:hAnsi="宋体"/>
          <w:color w:val="000000"/>
          <w:sz w:val="24"/>
        </w:rPr>
        <w:cr/>
      </w:r>
      <w:r>
        <w:rPr>
          <w:rFonts w:hint="eastAsia" w:hAnsi="宋体"/>
          <w:color w:val="000000"/>
          <w:sz w:val="24"/>
        </w:rPr>
        <w:cr/>
      </w:r>
      <w:r>
        <w:rPr>
          <w:rFonts w:hint="eastAsia" w:hAnsi="宋体"/>
          <w:color w:val="000000"/>
          <w:sz w:val="24"/>
        </w:rPr>
        <w:cr/>
      </w:r>
      <w:r>
        <w:rPr>
          <w:rFonts w:hint="eastAsia" w:hAnsi="宋体"/>
          <w:color w:val="000000"/>
          <w:sz w:val="24"/>
        </w:rPr>
        <w:t>法定代表人签字（或盖章）_______________________________</w:t>
      </w:r>
    </w:p>
    <w:p w14:paraId="7119D9DD">
      <w:pPr>
        <w:pStyle w:val="22"/>
        <w:tabs>
          <w:tab w:val="left" w:pos="5580"/>
        </w:tabs>
        <w:spacing w:line="360" w:lineRule="auto"/>
        <w:rPr>
          <w:rFonts w:hAnsi="宋体"/>
          <w:color w:val="000000"/>
          <w:sz w:val="24"/>
        </w:rPr>
      </w:pPr>
      <w:r>
        <w:rPr>
          <w:rFonts w:hint="eastAsia" w:hAnsi="宋体"/>
          <w:color w:val="000000"/>
          <w:sz w:val="24"/>
        </w:rPr>
        <w:cr/>
      </w:r>
      <w:r>
        <w:rPr>
          <w:rFonts w:hint="eastAsia" w:hAnsi="宋体"/>
          <w:color w:val="000000"/>
          <w:sz w:val="24"/>
        </w:rPr>
        <w:t>被授权人签字_______________________________</w:t>
      </w:r>
    </w:p>
    <w:p w14:paraId="07C7EC86">
      <w:pPr>
        <w:pStyle w:val="22"/>
        <w:tabs>
          <w:tab w:val="left" w:pos="5580"/>
        </w:tabs>
        <w:spacing w:line="360" w:lineRule="auto"/>
        <w:rPr>
          <w:rFonts w:hAnsi="宋体"/>
          <w:color w:val="000000"/>
          <w:sz w:val="24"/>
        </w:rPr>
      </w:pPr>
      <w:r>
        <w:rPr>
          <w:rFonts w:hint="eastAsia" w:hAnsi="宋体"/>
          <w:color w:val="000000"/>
          <w:sz w:val="24"/>
        </w:rPr>
        <w:cr/>
      </w:r>
      <w:r>
        <w:rPr>
          <w:rFonts w:hint="eastAsia" w:hAnsi="宋体"/>
          <w:color w:val="000000"/>
          <w:sz w:val="24"/>
        </w:rPr>
        <w:t xml:space="preserve">公司盖章：                                 </w:t>
      </w:r>
    </w:p>
    <w:p w14:paraId="1BC98043">
      <w:pPr>
        <w:pStyle w:val="22"/>
        <w:tabs>
          <w:tab w:val="left" w:pos="5580"/>
        </w:tabs>
        <w:spacing w:line="360" w:lineRule="auto"/>
        <w:rPr>
          <w:rFonts w:hAnsi="宋体"/>
          <w:color w:val="000000"/>
          <w:sz w:val="24"/>
        </w:rPr>
      </w:pPr>
    </w:p>
    <w:p w14:paraId="1C4A4AEE">
      <w:pPr>
        <w:pStyle w:val="22"/>
        <w:tabs>
          <w:tab w:val="left" w:pos="5580"/>
        </w:tabs>
        <w:spacing w:line="360" w:lineRule="auto"/>
        <w:rPr>
          <w:rFonts w:hAnsi="宋体"/>
          <w:color w:val="000000"/>
          <w:sz w:val="24"/>
        </w:rPr>
      </w:pPr>
    </w:p>
    <w:p w14:paraId="692955F7">
      <w:pPr>
        <w:pStyle w:val="22"/>
        <w:tabs>
          <w:tab w:val="left" w:pos="5580"/>
        </w:tabs>
        <w:spacing w:line="360" w:lineRule="auto"/>
        <w:rPr>
          <w:rFonts w:hAnsi="宋体"/>
          <w:color w:val="000000"/>
          <w:sz w:val="24"/>
        </w:rPr>
      </w:pPr>
      <w:r>
        <w:rPr>
          <w:rFonts w:hint="eastAsia" w:hAnsi="宋体"/>
          <w:color w:val="000000"/>
          <w:sz w:val="24"/>
        </w:rPr>
        <w:t>法人和被授权人身份证正反面复印件（附后）</w:t>
      </w:r>
    </w:p>
    <w:p w14:paraId="71D3C5D6">
      <w:pPr>
        <w:pStyle w:val="22"/>
        <w:tabs>
          <w:tab w:val="left" w:pos="5580"/>
        </w:tabs>
        <w:spacing w:line="360" w:lineRule="auto"/>
        <w:rPr>
          <w:rFonts w:hAnsi="宋体"/>
          <w:color w:val="000000"/>
          <w:sz w:val="24"/>
        </w:rPr>
      </w:pPr>
      <w:r>
        <w:rPr>
          <w:rFonts w:hint="eastAsia" w:hAnsi="宋体"/>
          <w:color w:val="000000"/>
          <w:sz w:val="24"/>
        </w:rPr>
        <w:t>被授权人姓名：</w:t>
      </w:r>
    </w:p>
    <w:p w14:paraId="64598C2A">
      <w:pPr>
        <w:pStyle w:val="22"/>
        <w:tabs>
          <w:tab w:val="left" w:pos="5580"/>
        </w:tabs>
        <w:spacing w:line="360" w:lineRule="auto"/>
        <w:rPr>
          <w:rFonts w:hAnsi="宋体"/>
          <w:color w:val="000000"/>
          <w:sz w:val="24"/>
        </w:rPr>
      </w:pPr>
      <w:r>
        <w:rPr>
          <w:rFonts w:hint="eastAsia" w:hAnsi="宋体"/>
          <w:color w:val="000000"/>
          <w:sz w:val="24"/>
        </w:rPr>
        <w:t>被授权人职务：</w:t>
      </w:r>
    </w:p>
    <w:p w14:paraId="5A6316F9">
      <w:pPr>
        <w:pStyle w:val="22"/>
        <w:tabs>
          <w:tab w:val="left" w:pos="5580"/>
        </w:tabs>
        <w:spacing w:line="360" w:lineRule="auto"/>
        <w:rPr>
          <w:rFonts w:hAnsi="宋体"/>
          <w:color w:val="000000"/>
          <w:sz w:val="24"/>
        </w:rPr>
      </w:pPr>
      <w:r>
        <w:rPr>
          <w:rFonts w:hint="eastAsia" w:hAnsi="宋体"/>
          <w:color w:val="000000"/>
          <w:sz w:val="24"/>
        </w:rPr>
        <w:t>详细通讯地址：</w:t>
      </w:r>
    </w:p>
    <w:p w14:paraId="267547FE">
      <w:pPr>
        <w:pStyle w:val="22"/>
        <w:tabs>
          <w:tab w:val="left" w:pos="5580"/>
        </w:tabs>
        <w:spacing w:line="360" w:lineRule="auto"/>
        <w:rPr>
          <w:rFonts w:hAnsi="宋体"/>
          <w:color w:val="000000"/>
          <w:sz w:val="24"/>
        </w:rPr>
      </w:pPr>
      <w:r>
        <w:rPr>
          <w:rFonts w:hint="eastAsia" w:hAnsi="宋体"/>
          <w:color w:val="000000"/>
          <w:sz w:val="24"/>
        </w:rPr>
        <w:t>邮政编码　　：</w:t>
      </w:r>
    </w:p>
    <w:p w14:paraId="7C57A693">
      <w:pPr>
        <w:pStyle w:val="22"/>
        <w:tabs>
          <w:tab w:val="left" w:pos="5580"/>
        </w:tabs>
        <w:spacing w:line="360" w:lineRule="auto"/>
        <w:rPr>
          <w:rFonts w:hAnsi="宋体"/>
          <w:color w:val="000000"/>
          <w:sz w:val="24"/>
        </w:rPr>
      </w:pPr>
      <w:r>
        <w:rPr>
          <w:rFonts w:hint="eastAsia" w:hAnsi="宋体"/>
          <w:color w:val="000000"/>
          <w:sz w:val="24"/>
        </w:rPr>
        <w:t>传　　　　真：</w:t>
      </w:r>
    </w:p>
    <w:p w14:paraId="499E444C">
      <w:pPr>
        <w:pStyle w:val="22"/>
        <w:tabs>
          <w:tab w:val="left" w:pos="5580"/>
        </w:tabs>
        <w:spacing w:line="360" w:lineRule="auto"/>
        <w:rPr>
          <w:rFonts w:hAnsi="宋体"/>
          <w:color w:val="000000"/>
          <w:sz w:val="24"/>
        </w:rPr>
      </w:pPr>
      <w:r>
        <w:rPr>
          <w:rFonts w:hint="eastAsia" w:hAnsi="宋体"/>
          <w:color w:val="000000"/>
          <w:sz w:val="24"/>
        </w:rPr>
        <w:t>电　　　　话：</w:t>
      </w:r>
    </w:p>
    <w:p w14:paraId="57AEEADB">
      <w:pPr>
        <w:pStyle w:val="22"/>
        <w:tabs>
          <w:tab w:val="left" w:pos="5580"/>
        </w:tabs>
        <w:spacing w:line="360" w:lineRule="auto"/>
        <w:rPr>
          <w:rFonts w:hAnsi="宋体"/>
          <w:color w:val="000000"/>
          <w:sz w:val="24"/>
        </w:rPr>
      </w:pPr>
      <w:r>
        <w:rPr>
          <w:rFonts w:hint="eastAsia" w:hAnsi="宋体"/>
          <w:color w:val="000000"/>
          <w:sz w:val="24"/>
        </w:rPr>
        <w:t>邮        箱：</w:t>
      </w:r>
    </w:p>
    <w:p w14:paraId="6C74A5D4">
      <w:pPr>
        <w:jc w:val="center"/>
        <w:rPr>
          <w:rFonts w:ascii="宋体" w:hAnsi="宋体"/>
          <w:b/>
          <w:color w:val="000000"/>
          <w:sz w:val="24"/>
        </w:rPr>
      </w:pPr>
      <w:r>
        <w:rPr>
          <w:rFonts w:ascii="宋体" w:hAnsi="宋体"/>
          <w:color w:val="000000"/>
          <w:sz w:val="24"/>
        </w:rPr>
        <w:br w:type="page"/>
      </w:r>
      <w:r>
        <w:rPr>
          <w:rFonts w:hint="eastAsia" w:ascii="宋体" w:hAnsi="宋体"/>
          <w:b/>
          <w:color w:val="000000"/>
          <w:sz w:val="24"/>
        </w:rPr>
        <w:t>附件</w:t>
      </w:r>
      <w:r>
        <w:rPr>
          <w:rFonts w:ascii="宋体" w:hAnsi="宋体"/>
          <w:b/>
          <w:color w:val="000000"/>
          <w:sz w:val="24"/>
        </w:rPr>
        <w:t>6</w:t>
      </w:r>
      <w:r>
        <w:rPr>
          <w:rFonts w:hint="eastAsia" w:ascii="宋体" w:hAnsi="宋体"/>
          <w:b/>
          <w:color w:val="000000"/>
          <w:sz w:val="24"/>
        </w:rPr>
        <w:t>-</w:t>
      </w:r>
      <w:r>
        <w:rPr>
          <w:rFonts w:ascii="宋体" w:hAnsi="宋体"/>
          <w:b/>
          <w:color w:val="000000"/>
          <w:sz w:val="24"/>
        </w:rPr>
        <w:t>4</w:t>
      </w:r>
      <w:r>
        <w:rPr>
          <w:rFonts w:hint="eastAsia" w:ascii="宋体" w:hAnsi="宋体"/>
          <w:b/>
          <w:color w:val="000000"/>
          <w:sz w:val="24"/>
        </w:rPr>
        <w:t xml:space="preserve">   投标人的资格声明　</w:t>
      </w:r>
      <w:r>
        <w:rPr>
          <w:rFonts w:ascii="宋体" w:hAnsi="宋体"/>
          <w:b/>
          <w:color w:val="000000"/>
          <w:sz w:val="24"/>
        </w:rPr>
        <w:t>(</w:t>
      </w:r>
      <w:r>
        <w:rPr>
          <w:rFonts w:hint="eastAsia" w:ascii="宋体" w:hAnsi="宋体"/>
          <w:b/>
          <w:color w:val="000000"/>
          <w:sz w:val="24"/>
        </w:rPr>
        <w:t>格式</w:t>
      </w:r>
      <w:r>
        <w:rPr>
          <w:rFonts w:ascii="宋体" w:hAnsi="宋体"/>
          <w:b/>
          <w:color w:val="000000"/>
          <w:sz w:val="24"/>
        </w:rPr>
        <w:t>)</w:t>
      </w:r>
    </w:p>
    <w:p w14:paraId="520AA0CA">
      <w:pPr>
        <w:jc w:val="center"/>
        <w:rPr>
          <w:rFonts w:ascii="宋体" w:hAnsi="宋体"/>
          <w:b/>
          <w:color w:val="000000"/>
          <w:sz w:val="24"/>
        </w:rPr>
      </w:pPr>
    </w:p>
    <w:p w14:paraId="7CC73913">
      <w:pPr>
        <w:tabs>
          <w:tab w:val="left" w:pos="5580"/>
        </w:tabs>
        <w:spacing w:before="120" w:line="22" w:lineRule="atLeast"/>
        <w:rPr>
          <w:rFonts w:ascii="宋体" w:hAnsi="宋体"/>
          <w:color w:val="000000"/>
          <w:sz w:val="24"/>
        </w:rPr>
      </w:pPr>
      <w:r>
        <w:rPr>
          <w:rFonts w:ascii="宋体" w:hAnsi="宋体"/>
          <w:color w:val="000000"/>
          <w:sz w:val="24"/>
        </w:rPr>
        <w:t>1</w:t>
      </w:r>
      <w:r>
        <w:rPr>
          <w:rFonts w:hint="eastAsia" w:ascii="宋体" w:hAnsi="宋体"/>
          <w:color w:val="000000"/>
          <w:sz w:val="24"/>
        </w:rPr>
        <w:t>、名称及概况：</w:t>
      </w:r>
    </w:p>
    <w:p w14:paraId="01E589FD">
      <w:pPr>
        <w:tabs>
          <w:tab w:val="left" w:pos="5580"/>
        </w:tabs>
        <w:spacing w:before="120" w:line="22" w:lineRule="atLeast"/>
        <w:ind w:firstLine="454"/>
        <w:rPr>
          <w:rFonts w:ascii="宋体" w:hAnsi="宋体"/>
          <w:color w:val="000000"/>
          <w:sz w:val="24"/>
        </w:rPr>
      </w:pPr>
      <w:r>
        <w:rPr>
          <w:rFonts w:ascii="宋体" w:hAnsi="宋体"/>
          <w:color w:val="000000"/>
          <w:sz w:val="24"/>
        </w:rPr>
        <w:t>(1)</w:t>
      </w:r>
      <w:r>
        <w:rPr>
          <w:rFonts w:hint="eastAsia" w:ascii="宋体" w:hAnsi="宋体"/>
          <w:color w:val="000000"/>
          <w:sz w:val="24"/>
        </w:rPr>
        <w:t>投标人名称：</w:t>
      </w:r>
      <w:r>
        <w:rPr>
          <w:rFonts w:ascii="宋体" w:hAnsi="宋体"/>
          <w:color w:val="000000"/>
          <w:sz w:val="24"/>
        </w:rPr>
        <w:t>_______________________________</w:t>
      </w:r>
    </w:p>
    <w:p w14:paraId="5DEB5A98">
      <w:pPr>
        <w:tabs>
          <w:tab w:val="left" w:pos="5580"/>
        </w:tabs>
        <w:spacing w:before="120" w:line="22" w:lineRule="atLeast"/>
        <w:ind w:firstLine="454"/>
        <w:rPr>
          <w:rFonts w:ascii="宋体" w:hAnsi="宋体"/>
          <w:color w:val="000000"/>
          <w:sz w:val="24"/>
        </w:rPr>
      </w:pPr>
      <w:r>
        <w:rPr>
          <w:rFonts w:ascii="宋体" w:hAnsi="宋体"/>
          <w:color w:val="000000"/>
          <w:sz w:val="24"/>
        </w:rPr>
        <w:t>(2)</w:t>
      </w:r>
      <w:r>
        <w:rPr>
          <w:rFonts w:hint="eastAsia" w:ascii="宋体" w:hAnsi="宋体"/>
          <w:color w:val="000000"/>
          <w:sz w:val="24"/>
        </w:rPr>
        <w:t>地址及邮编：</w:t>
      </w:r>
      <w:r>
        <w:rPr>
          <w:rFonts w:ascii="宋体" w:hAnsi="宋体"/>
          <w:color w:val="000000"/>
          <w:sz w:val="24"/>
        </w:rPr>
        <w:t>_______________________________</w:t>
      </w:r>
    </w:p>
    <w:p w14:paraId="28FF4F17">
      <w:pPr>
        <w:tabs>
          <w:tab w:val="left" w:pos="5580"/>
        </w:tabs>
        <w:spacing w:before="120" w:line="22" w:lineRule="atLeast"/>
        <w:ind w:firstLine="454"/>
        <w:rPr>
          <w:rFonts w:ascii="宋体" w:hAnsi="宋体"/>
          <w:color w:val="000000"/>
          <w:sz w:val="24"/>
        </w:rPr>
      </w:pPr>
      <w:r>
        <w:rPr>
          <w:rFonts w:ascii="宋体" w:hAnsi="宋体"/>
          <w:color w:val="000000"/>
          <w:sz w:val="24"/>
        </w:rPr>
        <w:t>(3)</w:t>
      </w:r>
      <w:r>
        <w:rPr>
          <w:rFonts w:hint="eastAsia" w:ascii="宋体" w:hAnsi="宋体"/>
          <w:color w:val="000000"/>
          <w:sz w:val="24"/>
        </w:rPr>
        <w:t>成立和注册日期：</w:t>
      </w:r>
      <w:r>
        <w:rPr>
          <w:rFonts w:ascii="宋体" w:hAnsi="宋体"/>
          <w:color w:val="000000"/>
          <w:sz w:val="24"/>
        </w:rPr>
        <w:t>___________________________</w:t>
      </w:r>
    </w:p>
    <w:p w14:paraId="6589F5FA">
      <w:pPr>
        <w:tabs>
          <w:tab w:val="left" w:pos="5580"/>
        </w:tabs>
        <w:spacing w:before="120" w:line="22" w:lineRule="atLeast"/>
        <w:rPr>
          <w:rFonts w:ascii="宋体" w:hAnsi="宋体"/>
          <w:color w:val="000000"/>
          <w:sz w:val="24"/>
        </w:rPr>
      </w:pPr>
      <w:r>
        <w:rPr>
          <w:rFonts w:hint="eastAsia" w:ascii="宋体" w:hAnsi="宋体"/>
          <w:color w:val="000000"/>
          <w:sz w:val="24"/>
        </w:rPr>
        <w:t>　　</w:t>
      </w:r>
      <w:r>
        <w:rPr>
          <w:rFonts w:ascii="宋体" w:hAnsi="宋体"/>
          <w:color w:val="000000"/>
          <w:sz w:val="24"/>
        </w:rPr>
        <w:t>(4)</w:t>
      </w:r>
      <w:r>
        <w:rPr>
          <w:rFonts w:hint="eastAsia" w:ascii="宋体" w:hAnsi="宋体"/>
          <w:color w:val="000000"/>
          <w:sz w:val="24"/>
        </w:rPr>
        <w:t>主管部门：</w:t>
      </w:r>
      <w:r>
        <w:rPr>
          <w:rFonts w:ascii="宋体" w:hAnsi="宋体"/>
          <w:color w:val="000000"/>
          <w:sz w:val="24"/>
        </w:rPr>
        <w:t>_________________________________</w:t>
      </w:r>
    </w:p>
    <w:p w14:paraId="78AE62BD">
      <w:pPr>
        <w:tabs>
          <w:tab w:val="left" w:pos="5580"/>
        </w:tabs>
        <w:spacing w:before="120" w:line="22" w:lineRule="atLeast"/>
        <w:ind w:firstLine="454"/>
        <w:rPr>
          <w:rFonts w:ascii="宋体" w:hAnsi="宋体"/>
          <w:color w:val="000000"/>
          <w:sz w:val="24"/>
        </w:rPr>
      </w:pPr>
      <w:r>
        <w:rPr>
          <w:rFonts w:ascii="宋体" w:hAnsi="宋体"/>
          <w:color w:val="000000"/>
          <w:sz w:val="24"/>
        </w:rPr>
        <w:t>(5)</w:t>
      </w:r>
      <w:r>
        <w:rPr>
          <w:rFonts w:hint="eastAsia" w:ascii="宋体" w:hAnsi="宋体"/>
          <w:color w:val="000000"/>
          <w:sz w:val="24"/>
        </w:rPr>
        <w:t>公司性质：</w:t>
      </w:r>
      <w:r>
        <w:rPr>
          <w:rFonts w:ascii="宋体" w:hAnsi="宋体"/>
          <w:color w:val="000000"/>
          <w:sz w:val="24"/>
        </w:rPr>
        <w:t>_________________________________</w:t>
      </w:r>
    </w:p>
    <w:p w14:paraId="550EF494">
      <w:pPr>
        <w:tabs>
          <w:tab w:val="left" w:pos="5580"/>
        </w:tabs>
        <w:spacing w:before="120" w:line="22" w:lineRule="atLeast"/>
        <w:ind w:firstLine="454"/>
        <w:rPr>
          <w:rFonts w:ascii="宋体" w:hAnsi="宋体"/>
          <w:color w:val="000000"/>
          <w:sz w:val="24"/>
        </w:rPr>
      </w:pPr>
      <w:r>
        <w:rPr>
          <w:rFonts w:ascii="宋体" w:hAnsi="宋体"/>
          <w:color w:val="000000"/>
          <w:sz w:val="24"/>
        </w:rPr>
        <w:t>(6)</w:t>
      </w:r>
      <w:r>
        <w:rPr>
          <w:rFonts w:hint="eastAsia" w:ascii="宋体" w:hAnsi="宋体"/>
          <w:color w:val="000000"/>
          <w:sz w:val="24"/>
        </w:rPr>
        <w:t>法人代表：</w:t>
      </w:r>
      <w:r>
        <w:rPr>
          <w:rFonts w:ascii="宋体" w:hAnsi="宋体"/>
          <w:color w:val="000000"/>
          <w:sz w:val="24"/>
        </w:rPr>
        <w:t>_________________________________</w:t>
      </w:r>
    </w:p>
    <w:p w14:paraId="39C9BEC9">
      <w:pPr>
        <w:tabs>
          <w:tab w:val="left" w:pos="5580"/>
        </w:tabs>
        <w:spacing w:before="120" w:line="22" w:lineRule="atLeast"/>
        <w:ind w:firstLine="454"/>
        <w:rPr>
          <w:rFonts w:ascii="宋体" w:hAnsi="宋体"/>
          <w:color w:val="000000"/>
          <w:sz w:val="24"/>
        </w:rPr>
      </w:pPr>
      <w:r>
        <w:rPr>
          <w:rFonts w:ascii="宋体" w:hAnsi="宋体"/>
          <w:color w:val="000000"/>
          <w:sz w:val="24"/>
        </w:rPr>
        <w:t>(7)</w:t>
      </w:r>
      <w:r>
        <w:rPr>
          <w:rFonts w:hint="eastAsia" w:ascii="宋体" w:hAnsi="宋体"/>
          <w:color w:val="000000"/>
          <w:sz w:val="24"/>
        </w:rPr>
        <w:t>职员人数：</w:t>
      </w:r>
      <w:r>
        <w:rPr>
          <w:rFonts w:ascii="宋体" w:hAnsi="宋体"/>
          <w:color w:val="000000"/>
          <w:sz w:val="24"/>
        </w:rPr>
        <w:t>_________________________________</w:t>
      </w:r>
    </w:p>
    <w:p w14:paraId="0BA909E0">
      <w:pPr>
        <w:tabs>
          <w:tab w:val="left" w:pos="5580"/>
        </w:tabs>
        <w:spacing w:before="120" w:line="22" w:lineRule="atLeast"/>
        <w:ind w:firstLine="454"/>
        <w:rPr>
          <w:rFonts w:ascii="宋体" w:hAnsi="宋体"/>
          <w:color w:val="000000"/>
          <w:sz w:val="24"/>
        </w:rPr>
      </w:pPr>
      <w:r>
        <w:rPr>
          <w:rFonts w:ascii="宋体" w:hAnsi="宋体"/>
          <w:color w:val="000000"/>
          <w:sz w:val="24"/>
        </w:rPr>
        <w:t>(8)</w:t>
      </w:r>
      <w:r>
        <w:rPr>
          <w:rFonts w:hint="eastAsia" w:ascii="宋体" w:hAnsi="宋体"/>
          <w:color w:val="000000"/>
          <w:sz w:val="24"/>
        </w:rPr>
        <w:t>近期资产负债表</w:t>
      </w:r>
      <w:r>
        <w:rPr>
          <w:rFonts w:ascii="宋体" w:hAnsi="宋体"/>
          <w:color w:val="000000"/>
          <w:sz w:val="24"/>
        </w:rPr>
        <w:t>(</w:t>
      </w:r>
      <w:r>
        <w:rPr>
          <w:rFonts w:hint="eastAsia" w:ascii="宋体" w:hAnsi="宋体"/>
          <w:color w:val="000000"/>
          <w:sz w:val="24"/>
        </w:rPr>
        <w:t>到</w:t>
      </w:r>
      <w:r>
        <w:rPr>
          <w:rFonts w:ascii="宋体" w:hAnsi="宋体"/>
          <w:color w:val="000000"/>
          <w:sz w:val="24"/>
        </w:rPr>
        <w:t>____</w:t>
      </w:r>
      <w:r>
        <w:rPr>
          <w:rFonts w:hint="eastAsia" w:ascii="宋体" w:hAnsi="宋体"/>
          <w:color w:val="000000"/>
          <w:sz w:val="24"/>
        </w:rPr>
        <w:t>年</w:t>
      </w:r>
      <w:r>
        <w:rPr>
          <w:rFonts w:ascii="宋体" w:hAnsi="宋体"/>
          <w:color w:val="000000"/>
          <w:sz w:val="24"/>
        </w:rPr>
        <w:t>______</w:t>
      </w:r>
      <w:r>
        <w:rPr>
          <w:rFonts w:hint="eastAsia" w:ascii="宋体" w:hAnsi="宋体"/>
          <w:color w:val="000000"/>
          <w:sz w:val="24"/>
        </w:rPr>
        <w:t>月</w:t>
      </w:r>
      <w:r>
        <w:rPr>
          <w:rFonts w:ascii="宋体" w:hAnsi="宋体"/>
          <w:color w:val="000000"/>
          <w:sz w:val="24"/>
        </w:rPr>
        <w:t>_______</w:t>
      </w:r>
      <w:r>
        <w:rPr>
          <w:rFonts w:hint="eastAsia" w:ascii="宋体" w:hAnsi="宋体"/>
          <w:color w:val="000000"/>
          <w:sz w:val="24"/>
        </w:rPr>
        <w:t>日止</w:t>
      </w:r>
      <w:r>
        <w:rPr>
          <w:rFonts w:ascii="宋体" w:hAnsi="宋体"/>
          <w:color w:val="000000"/>
          <w:sz w:val="24"/>
        </w:rPr>
        <w:t>)</w:t>
      </w:r>
    </w:p>
    <w:p w14:paraId="6EEC9C95">
      <w:pPr>
        <w:tabs>
          <w:tab w:val="left" w:pos="5580"/>
        </w:tabs>
        <w:spacing w:before="120" w:line="22" w:lineRule="atLeast"/>
        <w:ind w:left="454" w:firstLine="454"/>
        <w:rPr>
          <w:rFonts w:ascii="宋体" w:hAns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〉固定资产：</w:t>
      </w:r>
      <w:r>
        <w:rPr>
          <w:rFonts w:ascii="宋体" w:hAnsi="宋体"/>
          <w:color w:val="000000"/>
          <w:sz w:val="24"/>
        </w:rPr>
        <w:t>__________________________</w:t>
      </w:r>
    </w:p>
    <w:p w14:paraId="063FE18A">
      <w:pPr>
        <w:tabs>
          <w:tab w:val="left" w:pos="5580"/>
        </w:tabs>
        <w:spacing w:before="120" w:line="22" w:lineRule="atLeast"/>
        <w:ind w:left="1362" w:firstLine="454"/>
        <w:rPr>
          <w:rFonts w:ascii="宋体" w:hAnsi="宋体"/>
          <w:color w:val="000000"/>
          <w:sz w:val="24"/>
        </w:rPr>
      </w:pPr>
      <w:r>
        <w:rPr>
          <w:rFonts w:hint="eastAsia" w:ascii="宋体" w:hAnsi="宋体"/>
          <w:color w:val="000000"/>
          <w:sz w:val="24"/>
        </w:rPr>
        <w:t>原值：</w:t>
      </w:r>
      <w:r>
        <w:rPr>
          <w:rFonts w:ascii="宋体" w:hAnsi="宋体"/>
          <w:color w:val="000000"/>
          <w:sz w:val="24"/>
        </w:rPr>
        <w:t>___________________________</w:t>
      </w:r>
    </w:p>
    <w:p w14:paraId="5BBC23B4">
      <w:pPr>
        <w:tabs>
          <w:tab w:val="left" w:pos="5580"/>
        </w:tabs>
        <w:spacing w:before="120" w:line="22" w:lineRule="atLeast"/>
        <w:ind w:left="1362" w:firstLine="454"/>
        <w:rPr>
          <w:rFonts w:ascii="宋体" w:hAnsi="宋体"/>
          <w:color w:val="000000"/>
          <w:sz w:val="24"/>
        </w:rPr>
      </w:pPr>
      <w:r>
        <w:rPr>
          <w:rFonts w:hint="eastAsia" w:ascii="宋体" w:hAnsi="宋体"/>
          <w:color w:val="000000"/>
          <w:sz w:val="24"/>
        </w:rPr>
        <w:t>净值：</w:t>
      </w:r>
      <w:r>
        <w:rPr>
          <w:rFonts w:ascii="宋体" w:hAnsi="宋体"/>
          <w:color w:val="000000"/>
          <w:sz w:val="24"/>
        </w:rPr>
        <w:t>___________________________</w:t>
      </w:r>
    </w:p>
    <w:p w14:paraId="5BB28F8C">
      <w:pPr>
        <w:tabs>
          <w:tab w:val="left" w:pos="5580"/>
        </w:tabs>
        <w:spacing w:before="120" w:line="22" w:lineRule="atLeast"/>
        <w:ind w:left="454" w:firstLine="454"/>
        <w:rPr>
          <w:rFonts w:ascii="宋体" w:hAns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〉流动资金：</w:t>
      </w:r>
      <w:r>
        <w:rPr>
          <w:rFonts w:ascii="宋体" w:hAnsi="宋体"/>
          <w:color w:val="000000"/>
          <w:sz w:val="24"/>
        </w:rPr>
        <w:t>__________________________</w:t>
      </w:r>
    </w:p>
    <w:p w14:paraId="6C39E1EC">
      <w:pPr>
        <w:tabs>
          <w:tab w:val="left" w:pos="5580"/>
        </w:tabs>
        <w:spacing w:before="120" w:line="22" w:lineRule="atLeast"/>
        <w:ind w:left="454" w:firstLine="454"/>
        <w:rPr>
          <w:rFonts w:ascii="宋体" w:hAns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〉长期负债：</w:t>
      </w:r>
      <w:r>
        <w:rPr>
          <w:rFonts w:ascii="宋体" w:hAnsi="宋体"/>
          <w:color w:val="000000"/>
          <w:sz w:val="24"/>
        </w:rPr>
        <w:t>__________________________</w:t>
      </w:r>
    </w:p>
    <w:p w14:paraId="039D0270">
      <w:pPr>
        <w:tabs>
          <w:tab w:val="left" w:pos="5580"/>
        </w:tabs>
        <w:spacing w:before="120" w:line="22" w:lineRule="atLeast"/>
        <w:ind w:left="454" w:firstLine="454"/>
        <w:rPr>
          <w:rFonts w:ascii="宋体" w:hAnsi="宋体"/>
          <w:color w:val="000000"/>
          <w:sz w:val="24"/>
        </w:rPr>
      </w:pPr>
      <w:r>
        <w:rPr>
          <w:rFonts w:hint="eastAsia" w:ascii="宋体" w:hAnsi="宋体"/>
          <w:color w:val="000000"/>
          <w:sz w:val="24"/>
        </w:rPr>
        <w:t>〈</w:t>
      </w:r>
      <w:r>
        <w:rPr>
          <w:rFonts w:ascii="宋体" w:hAnsi="宋体"/>
          <w:color w:val="000000"/>
          <w:sz w:val="24"/>
        </w:rPr>
        <w:t>4</w:t>
      </w:r>
      <w:r>
        <w:rPr>
          <w:rFonts w:hint="eastAsia" w:ascii="宋体" w:hAnsi="宋体"/>
          <w:color w:val="000000"/>
          <w:sz w:val="24"/>
        </w:rPr>
        <w:t>〉短期负债：</w:t>
      </w:r>
      <w:r>
        <w:rPr>
          <w:rFonts w:ascii="宋体" w:hAnsi="宋体"/>
          <w:color w:val="000000"/>
          <w:sz w:val="24"/>
        </w:rPr>
        <w:t>__________________________</w:t>
      </w:r>
    </w:p>
    <w:p w14:paraId="39734526">
      <w:pPr>
        <w:tabs>
          <w:tab w:val="left" w:pos="5580"/>
        </w:tabs>
        <w:spacing w:before="120" w:line="22" w:lineRule="atLeast"/>
        <w:ind w:left="454" w:firstLine="454"/>
        <w:rPr>
          <w:rFonts w:ascii="宋体" w:hAnsi="宋体"/>
          <w:color w:val="000000"/>
          <w:sz w:val="24"/>
        </w:rPr>
      </w:pPr>
      <w:r>
        <w:rPr>
          <w:rFonts w:hint="eastAsia" w:ascii="宋体" w:hAnsi="宋体"/>
          <w:color w:val="000000"/>
          <w:sz w:val="24"/>
        </w:rPr>
        <w:t>〈</w:t>
      </w:r>
      <w:r>
        <w:rPr>
          <w:rFonts w:ascii="宋体" w:hAnsi="宋体"/>
          <w:color w:val="000000"/>
          <w:sz w:val="24"/>
        </w:rPr>
        <w:t>5</w:t>
      </w:r>
      <w:r>
        <w:rPr>
          <w:rFonts w:hint="eastAsia" w:ascii="宋体" w:hAnsi="宋体"/>
          <w:color w:val="000000"/>
          <w:sz w:val="24"/>
        </w:rPr>
        <w:t>〉资金来源：</w:t>
      </w:r>
    </w:p>
    <w:p w14:paraId="1630A111">
      <w:pPr>
        <w:tabs>
          <w:tab w:val="left" w:pos="5580"/>
        </w:tabs>
        <w:spacing w:before="120" w:line="22" w:lineRule="atLeast"/>
        <w:ind w:left="1362" w:firstLine="454"/>
        <w:rPr>
          <w:rFonts w:ascii="宋体" w:hAnsi="宋体"/>
          <w:color w:val="000000"/>
          <w:sz w:val="24"/>
        </w:rPr>
      </w:pPr>
      <w:r>
        <w:rPr>
          <w:rFonts w:hint="eastAsia" w:ascii="宋体" w:hAnsi="宋体"/>
          <w:color w:val="000000"/>
          <w:sz w:val="24"/>
        </w:rPr>
        <w:t>自有资金：</w:t>
      </w:r>
      <w:r>
        <w:rPr>
          <w:rFonts w:ascii="宋体" w:hAnsi="宋体"/>
          <w:color w:val="000000"/>
          <w:sz w:val="24"/>
        </w:rPr>
        <w:t>__________________________</w:t>
      </w:r>
    </w:p>
    <w:p w14:paraId="629FCFFB">
      <w:pPr>
        <w:tabs>
          <w:tab w:val="left" w:pos="5580"/>
        </w:tabs>
        <w:spacing w:before="120" w:line="22" w:lineRule="atLeast"/>
        <w:ind w:left="1362" w:firstLine="454"/>
        <w:rPr>
          <w:rFonts w:ascii="宋体" w:hAnsi="宋体"/>
          <w:color w:val="000000"/>
          <w:sz w:val="24"/>
        </w:rPr>
      </w:pPr>
      <w:r>
        <w:rPr>
          <w:rFonts w:hint="eastAsia" w:ascii="宋体" w:hAnsi="宋体"/>
          <w:color w:val="000000"/>
          <w:sz w:val="24"/>
        </w:rPr>
        <w:t>银行贷款：</w:t>
      </w:r>
      <w:r>
        <w:rPr>
          <w:rFonts w:ascii="宋体" w:hAnsi="宋体"/>
          <w:color w:val="000000"/>
          <w:sz w:val="24"/>
        </w:rPr>
        <w:t>__________________________</w:t>
      </w:r>
    </w:p>
    <w:p w14:paraId="27FAC2FA">
      <w:pPr>
        <w:tabs>
          <w:tab w:val="left" w:pos="5580"/>
        </w:tabs>
        <w:spacing w:before="120" w:line="22" w:lineRule="atLeast"/>
        <w:ind w:left="454" w:firstLine="454"/>
        <w:rPr>
          <w:rFonts w:ascii="宋体" w:hAnsi="宋体"/>
          <w:color w:val="000000"/>
          <w:sz w:val="24"/>
        </w:rPr>
      </w:pPr>
      <w:r>
        <w:rPr>
          <w:rFonts w:hint="eastAsia" w:ascii="宋体" w:hAnsi="宋体"/>
          <w:color w:val="000000"/>
          <w:sz w:val="24"/>
        </w:rPr>
        <w:t>〈</w:t>
      </w:r>
      <w:r>
        <w:rPr>
          <w:rFonts w:ascii="宋体" w:hAnsi="宋体"/>
          <w:color w:val="000000"/>
          <w:sz w:val="24"/>
        </w:rPr>
        <w:t>6</w:t>
      </w:r>
      <w:r>
        <w:rPr>
          <w:rFonts w:hint="eastAsia" w:ascii="宋体" w:hAnsi="宋体"/>
          <w:color w:val="000000"/>
          <w:sz w:val="24"/>
        </w:rPr>
        <w:t>〉资金类型：</w:t>
      </w:r>
      <w:r>
        <w:rPr>
          <w:rFonts w:ascii="宋体" w:hAnsi="宋体"/>
          <w:color w:val="000000"/>
          <w:sz w:val="24"/>
        </w:rPr>
        <w:t>__________________________</w:t>
      </w:r>
    </w:p>
    <w:p w14:paraId="5A16AEC9">
      <w:pPr>
        <w:tabs>
          <w:tab w:val="left" w:pos="5580"/>
        </w:tabs>
        <w:spacing w:before="120" w:line="22" w:lineRule="atLeast"/>
        <w:ind w:left="1362" w:firstLine="454"/>
        <w:rPr>
          <w:rFonts w:ascii="宋体" w:hAnsi="宋体"/>
          <w:color w:val="000000"/>
          <w:sz w:val="24"/>
        </w:rPr>
      </w:pPr>
      <w:r>
        <w:rPr>
          <w:rFonts w:hint="eastAsia" w:ascii="宋体" w:hAnsi="宋体"/>
          <w:color w:val="000000"/>
          <w:sz w:val="24"/>
        </w:rPr>
        <w:t>商业性：</w:t>
      </w:r>
      <w:r>
        <w:rPr>
          <w:rFonts w:ascii="宋体" w:hAnsi="宋体"/>
          <w:color w:val="000000"/>
          <w:sz w:val="24"/>
        </w:rPr>
        <w:t>____________________________</w:t>
      </w:r>
    </w:p>
    <w:p w14:paraId="333C372D">
      <w:pPr>
        <w:tabs>
          <w:tab w:val="left" w:pos="5580"/>
        </w:tabs>
        <w:spacing w:before="120" w:line="22" w:lineRule="atLeast"/>
        <w:ind w:left="1362" w:firstLine="454"/>
        <w:rPr>
          <w:rFonts w:ascii="宋体" w:hAnsi="宋体"/>
          <w:color w:val="000000"/>
          <w:sz w:val="24"/>
        </w:rPr>
      </w:pPr>
      <w:r>
        <w:rPr>
          <w:rFonts w:hint="eastAsia" w:ascii="宋体" w:hAnsi="宋体"/>
          <w:color w:val="000000"/>
          <w:sz w:val="24"/>
        </w:rPr>
        <w:t>非商业性：</w:t>
      </w:r>
      <w:r>
        <w:rPr>
          <w:rFonts w:ascii="宋体" w:hAnsi="宋体"/>
          <w:color w:val="000000"/>
          <w:sz w:val="24"/>
        </w:rPr>
        <w:t>__________________________</w:t>
      </w:r>
    </w:p>
    <w:p w14:paraId="281D913E">
      <w:pPr>
        <w:tabs>
          <w:tab w:val="left" w:pos="5580"/>
        </w:tabs>
        <w:spacing w:before="120" w:line="22" w:lineRule="atLeast"/>
        <w:rPr>
          <w:rFonts w:ascii="宋体" w:hAnsi="宋体"/>
          <w:color w:val="000000"/>
          <w:sz w:val="24"/>
        </w:rPr>
      </w:pPr>
      <w:r>
        <w:rPr>
          <w:rFonts w:ascii="宋体" w:hAnsi="宋体"/>
          <w:color w:val="000000"/>
          <w:sz w:val="24"/>
        </w:rPr>
        <w:t>2</w:t>
      </w:r>
      <w:r>
        <w:rPr>
          <w:rFonts w:hint="eastAsia" w:ascii="宋体" w:hAnsi="宋体"/>
          <w:color w:val="000000"/>
          <w:sz w:val="24"/>
        </w:rPr>
        <w:t>、最近三年的年度总营业额：</w:t>
      </w:r>
    </w:p>
    <w:p w14:paraId="1159AD7A">
      <w:pPr>
        <w:tabs>
          <w:tab w:val="left" w:pos="5580"/>
        </w:tabs>
        <w:spacing w:before="120" w:line="22" w:lineRule="atLeast"/>
        <w:ind w:firstLine="454"/>
        <w:rPr>
          <w:rFonts w:ascii="宋体" w:hAnsi="宋体"/>
          <w:color w:val="000000"/>
          <w:sz w:val="24"/>
        </w:rPr>
      </w:pPr>
      <w:r>
        <w:rPr>
          <w:rFonts w:hint="eastAsia" w:ascii="宋体" w:hAnsi="宋体"/>
          <w:color w:val="000000"/>
          <w:sz w:val="24"/>
        </w:rPr>
        <w:t>年份　　　　　国内　　　</w:t>
      </w:r>
      <w:r>
        <w:rPr>
          <w:rFonts w:ascii="宋体" w:hAnsi="宋体"/>
          <w:color w:val="000000"/>
          <w:sz w:val="24"/>
        </w:rPr>
        <w:t xml:space="preserve"> </w:t>
      </w:r>
      <w:r>
        <w:rPr>
          <w:rFonts w:hint="eastAsia" w:ascii="宋体" w:hAnsi="宋体"/>
          <w:color w:val="000000"/>
          <w:sz w:val="24"/>
        </w:rPr>
        <w:t>　　出口　</w:t>
      </w:r>
      <w:r>
        <w:rPr>
          <w:rFonts w:ascii="宋体" w:hAnsi="宋体"/>
          <w:color w:val="000000"/>
          <w:sz w:val="24"/>
        </w:rPr>
        <w:t xml:space="preserve"> </w:t>
      </w:r>
      <w:r>
        <w:rPr>
          <w:rFonts w:hint="eastAsia" w:ascii="宋体" w:hAnsi="宋体"/>
          <w:color w:val="000000"/>
          <w:sz w:val="24"/>
        </w:rPr>
        <w:t>　　　　总额</w:t>
      </w:r>
    </w:p>
    <w:p w14:paraId="3860CC68">
      <w:pPr>
        <w:tabs>
          <w:tab w:val="left" w:pos="5580"/>
        </w:tabs>
        <w:spacing w:before="120" w:line="22" w:lineRule="atLeast"/>
        <w:ind w:firstLine="454"/>
        <w:rPr>
          <w:rFonts w:ascii="宋体" w:hAnsi="宋体"/>
          <w:color w:val="000000"/>
          <w:sz w:val="24"/>
        </w:rPr>
      </w:pPr>
      <w:r>
        <w:rPr>
          <w:rFonts w:ascii="宋体" w:hAnsi="宋体"/>
          <w:color w:val="000000"/>
          <w:sz w:val="24"/>
        </w:rPr>
        <w:t>__________</w:t>
      </w:r>
      <w:r>
        <w:rPr>
          <w:rFonts w:hint="eastAsia" w:ascii="宋体" w:hAnsi="宋体"/>
          <w:color w:val="000000"/>
          <w:sz w:val="24"/>
        </w:rPr>
        <w:t>　　</w:t>
      </w:r>
      <w:r>
        <w:rPr>
          <w:rFonts w:ascii="宋体" w:hAnsi="宋体"/>
          <w:color w:val="000000"/>
          <w:sz w:val="24"/>
        </w:rPr>
        <w:t xml:space="preserve"> ___________</w:t>
      </w:r>
      <w:r>
        <w:rPr>
          <w:rFonts w:hint="eastAsia" w:ascii="宋体" w:hAnsi="宋体"/>
          <w:color w:val="000000"/>
          <w:sz w:val="24"/>
        </w:rPr>
        <w:t>　　</w:t>
      </w:r>
      <w:r>
        <w:rPr>
          <w:rFonts w:ascii="宋体" w:hAnsi="宋体"/>
          <w:color w:val="000000"/>
          <w:sz w:val="24"/>
        </w:rPr>
        <w:t>___________</w:t>
      </w:r>
      <w:r>
        <w:rPr>
          <w:rFonts w:hint="eastAsia" w:ascii="宋体" w:hAnsi="宋体"/>
          <w:color w:val="000000"/>
          <w:sz w:val="24"/>
        </w:rPr>
        <w:t>　　</w:t>
      </w:r>
      <w:r>
        <w:rPr>
          <w:rFonts w:ascii="宋体" w:hAnsi="宋体"/>
          <w:color w:val="000000"/>
          <w:sz w:val="24"/>
        </w:rPr>
        <w:t>___________</w:t>
      </w:r>
    </w:p>
    <w:p w14:paraId="748E7643">
      <w:pPr>
        <w:tabs>
          <w:tab w:val="left" w:pos="5580"/>
        </w:tabs>
        <w:spacing w:before="120" w:line="22" w:lineRule="atLeast"/>
        <w:ind w:firstLine="454"/>
        <w:rPr>
          <w:rFonts w:ascii="宋体" w:hAnsi="宋体"/>
          <w:color w:val="000000"/>
          <w:sz w:val="24"/>
        </w:rPr>
      </w:pPr>
      <w:r>
        <w:rPr>
          <w:rFonts w:ascii="宋体" w:hAnsi="宋体"/>
          <w:color w:val="000000"/>
          <w:sz w:val="24"/>
        </w:rPr>
        <w:t>__________</w:t>
      </w:r>
      <w:r>
        <w:rPr>
          <w:rFonts w:hint="eastAsia" w:ascii="宋体" w:hAnsi="宋体"/>
          <w:color w:val="000000"/>
          <w:sz w:val="24"/>
        </w:rPr>
        <w:t>　　</w:t>
      </w:r>
      <w:r>
        <w:rPr>
          <w:rFonts w:ascii="宋体" w:hAnsi="宋体"/>
          <w:color w:val="000000"/>
          <w:sz w:val="24"/>
        </w:rPr>
        <w:t xml:space="preserve"> ___________</w:t>
      </w:r>
      <w:r>
        <w:rPr>
          <w:rFonts w:hint="eastAsia" w:ascii="宋体" w:hAnsi="宋体"/>
          <w:color w:val="000000"/>
          <w:sz w:val="24"/>
        </w:rPr>
        <w:t>　　</w:t>
      </w:r>
      <w:r>
        <w:rPr>
          <w:rFonts w:ascii="宋体" w:hAnsi="宋体"/>
          <w:color w:val="000000"/>
          <w:sz w:val="24"/>
        </w:rPr>
        <w:t>___________</w:t>
      </w:r>
      <w:r>
        <w:rPr>
          <w:rFonts w:hint="eastAsia" w:ascii="宋体" w:hAnsi="宋体"/>
          <w:color w:val="000000"/>
          <w:sz w:val="24"/>
        </w:rPr>
        <w:t>　　</w:t>
      </w:r>
      <w:r>
        <w:rPr>
          <w:rFonts w:ascii="宋体" w:hAnsi="宋体"/>
          <w:color w:val="000000"/>
          <w:sz w:val="24"/>
        </w:rPr>
        <w:t>___________</w:t>
      </w:r>
    </w:p>
    <w:p w14:paraId="185BE94B">
      <w:pPr>
        <w:tabs>
          <w:tab w:val="left" w:pos="5580"/>
        </w:tabs>
        <w:spacing w:before="120" w:line="22" w:lineRule="atLeast"/>
        <w:rPr>
          <w:rFonts w:ascii="宋体" w:hAnsi="宋体"/>
          <w:color w:val="000000"/>
          <w:sz w:val="24"/>
        </w:rPr>
      </w:pPr>
      <w:r>
        <w:rPr>
          <w:rFonts w:ascii="宋体" w:hAnsi="宋体"/>
          <w:color w:val="000000"/>
          <w:sz w:val="24"/>
        </w:rPr>
        <w:t>3</w:t>
      </w:r>
      <w:r>
        <w:rPr>
          <w:rFonts w:hint="eastAsia" w:ascii="宋体" w:hAnsi="宋体"/>
          <w:color w:val="000000"/>
          <w:sz w:val="24"/>
        </w:rPr>
        <w:t>、最近三年投标货物主要销售给国内及国外用户名称及地址：</w:t>
      </w:r>
    </w:p>
    <w:p w14:paraId="1911ACF4">
      <w:pPr>
        <w:tabs>
          <w:tab w:val="left" w:pos="5580"/>
        </w:tabs>
        <w:spacing w:before="120" w:line="22" w:lineRule="atLeast"/>
        <w:ind w:firstLine="960" w:firstLineChars="400"/>
        <w:rPr>
          <w:rFonts w:ascii="宋体" w:hAnsi="宋体"/>
          <w:color w:val="000000"/>
          <w:sz w:val="24"/>
        </w:rPr>
      </w:pPr>
      <w:r>
        <w:rPr>
          <w:rFonts w:hint="eastAsia" w:ascii="宋体" w:hAnsi="宋体"/>
          <w:color w:val="000000"/>
          <w:sz w:val="24"/>
        </w:rPr>
        <w:t>名称和地址　　　　　　　  销售的项目和数量</w:t>
      </w:r>
    </w:p>
    <w:p w14:paraId="5624C3C9">
      <w:pPr>
        <w:tabs>
          <w:tab w:val="left" w:pos="5580"/>
        </w:tabs>
        <w:spacing w:before="120" w:line="22" w:lineRule="atLeast"/>
        <w:ind w:firstLine="454"/>
        <w:rPr>
          <w:rFonts w:ascii="宋体" w:hAnsi="宋体"/>
          <w:color w:val="000000"/>
          <w:sz w:val="24"/>
        </w:rPr>
      </w:pPr>
      <w:r>
        <w:rPr>
          <w:rFonts w:ascii="宋体" w:hAnsi="宋体"/>
          <w:color w:val="000000"/>
          <w:sz w:val="24"/>
        </w:rPr>
        <w:t>(1)</w:t>
      </w:r>
      <w:r>
        <w:rPr>
          <w:rFonts w:hint="eastAsia" w:ascii="宋体" w:hAnsi="宋体"/>
          <w:color w:val="000000"/>
          <w:sz w:val="24"/>
        </w:rPr>
        <w:t xml:space="preserve"> 出口销售：</w:t>
      </w:r>
    </w:p>
    <w:p w14:paraId="5B77EA3B">
      <w:pPr>
        <w:tabs>
          <w:tab w:val="left" w:pos="5580"/>
        </w:tabs>
        <w:spacing w:before="120" w:line="22" w:lineRule="atLeast"/>
        <w:ind w:left="454" w:firstLine="454"/>
        <w:rPr>
          <w:rFonts w:ascii="宋体" w:hAnsi="宋体"/>
          <w:color w:val="000000"/>
          <w:sz w:val="24"/>
        </w:rPr>
      </w:pPr>
      <w:r>
        <w:rPr>
          <w:rFonts w:ascii="宋体" w:hAnsi="宋体"/>
          <w:color w:val="000000"/>
          <w:sz w:val="24"/>
        </w:rPr>
        <w:t>_________________</w:t>
      </w:r>
      <w:r>
        <w:rPr>
          <w:rFonts w:hint="eastAsia" w:ascii="宋体" w:hAnsi="宋体"/>
          <w:color w:val="000000"/>
          <w:sz w:val="24"/>
        </w:rPr>
        <w:t>　　　　</w:t>
      </w:r>
      <w:r>
        <w:rPr>
          <w:rFonts w:ascii="宋体" w:hAnsi="宋体"/>
          <w:color w:val="000000"/>
          <w:sz w:val="24"/>
        </w:rPr>
        <w:t>_______________________________</w:t>
      </w:r>
    </w:p>
    <w:p w14:paraId="2261CF13">
      <w:pPr>
        <w:tabs>
          <w:tab w:val="left" w:pos="5580"/>
        </w:tabs>
        <w:spacing w:before="120" w:line="22" w:lineRule="atLeast"/>
        <w:ind w:left="454" w:firstLine="454"/>
        <w:rPr>
          <w:rFonts w:ascii="宋体" w:hAnsi="宋体"/>
          <w:color w:val="000000"/>
          <w:sz w:val="24"/>
        </w:rPr>
      </w:pPr>
      <w:r>
        <w:rPr>
          <w:rFonts w:ascii="宋体" w:hAnsi="宋体"/>
          <w:color w:val="000000"/>
          <w:sz w:val="24"/>
        </w:rPr>
        <w:t>_________________</w:t>
      </w:r>
      <w:r>
        <w:rPr>
          <w:rFonts w:hint="eastAsia" w:ascii="宋体" w:hAnsi="宋体"/>
          <w:color w:val="000000"/>
          <w:sz w:val="24"/>
        </w:rPr>
        <w:t>　　　　</w:t>
      </w:r>
      <w:r>
        <w:rPr>
          <w:rFonts w:ascii="宋体" w:hAnsi="宋体"/>
          <w:color w:val="000000"/>
          <w:sz w:val="24"/>
        </w:rPr>
        <w:t>_______________________________</w:t>
      </w:r>
    </w:p>
    <w:p w14:paraId="1D51C620">
      <w:pPr>
        <w:tabs>
          <w:tab w:val="left" w:pos="5580"/>
        </w:tabs>
        <w:spacing w:before="120" w:line="22" w:lineRule="atLeast"/>
        <w:ind w:firstLine="454"/>
        <w:rPr>
          <w:rFonts w:ascii="宋体" w:hAnsi="宋体"/>
          <w:color w:val="000000"/>
          <w:sz w:val="24"/>
        </w:rPr>
      </w:pPr>
      <w:r>
        <w:rPr>
          <w:rFonts w:ascii="宋体" w:hAnsi="宋体"/>
          <w:color w:val="000000"/>
          <w:sz w:val="24"/>
        </w:rPr>
        <w:t>(2)</w:t>
      </w:r>
      <w:r>
        <w:rPr>
          <w:rFonts w:hint="eastAsia" w:ascii="宋体" w:hAnsi="宋体"/>
          <w:color w:val="000000"/>
          <w:sz w:val="24"/>
        </w:rPr>
        <w:t xml:space="preserve"> 国内销售：</w:t>
      </w:r>
    </w:p>
    <w:p w14:paraId="652A7245">
      <w:pPr>
        <w:tabs>
          <w:tab w:val="left" w:pos="5580"/>
        </w:tabs>
        <w:spacing w:before="120" w:line="22" w:lineRule="atLeast"/>
        <w:ind w:left="454" w:firstLine="454"/>
        <w:rPr>
          <w:rFonts w:ascii="宋体" w:hAnsi="宋体"/>
          <w:color w:val="000000"/>
          <w:sz w:val="24"/>
        </w:rPr>
      </w:pPr>
      <w:r>
        <w:rPr>
          <w:rFonts w:ascii="宋体" w:hAnsi="宋体"/>
          <w:color w:val="000000"/>
          <w:sz w:val="24"/>
        </w:rPr>
        <w:t>_________________</w:t>
      </w:r>
      <w:r>
        <w:rPr>
          <w:rFonts w:hint="eastAsia" w:ascii="宋体" w:hAnsi="宋体"/>
          <w:color w:val="000000"/>
          <w:sz w:val="24"/>
        </w:rPr>
        <w:t>　　　　</w:t>
      </w:r>
      <w:r>
        <w:rPr>
          <w:rFonts w:ascii="宋体" w:hAnsi="宋体"/>
          <w:color w:val="000000"/>
          <w:sz w:val="24"/>
        </w:rPr>
        <w:t>_______________________________</w:t>
      </w:r>
    </w:p>
    <w:p w14:paraId="286EA732">
      <w:pPr>
        <w:tabs>
          <w:tab w:val="left" w:pos="5580"/>
        </w:tabs>
        <w:spacing w:before="120" w:line="22" w:lineRule="atLeast"/>
        <w:ind w:left="454" w:firstLine="454"/>
        <w:rPr>
          <w:rFonts w:ascii="宋体" w:hAnsi="宋体"/>
          <w:color w:val="000000"/>
          <w:sz w:val="24"/>
        </w:rPr>
      </w:pPr>
      <w:r>
        <w:rPr>
          <w:rFonts w:ascii="宋体" w:hAnsi="宋体"/>
          <w:color w:val="000000"/>
          <w:sz w:val="24"/>
        </w:rPr>
        <w:t>_________________</w:t>
      </w:r>
      <w:r>
        <w:rPr>
          <w:rFonts w:hint="eastAsia" w:ascii="宋体" w:hAnsi="宋体"/>
          <w:color w:val="000000"/>
          <w:sz w:val="24"/>
        </w:rPr>
        <w:t>　　　　</w:t>
      </w:r>
      <w:r>
        <w:rPr>
          <w:rFonts w:ascii="宋体" w:hAnsi="宋体"/>
          <w:color w:val="000000"/>
          <w:sz w:val="24"/>
        </w:rPr>
        <w:t>_______________________________</w:t>
      </w:r>
    </w:p>
    <w:p w14:paraId="3810F2BF">
      <w:pPr>
        <w:tabs>
          <w:tab w:val="left" w:pos="5580"/>
        </w:tabs>
        <w:spacing w:before="120" w:line="22" w:lineRule="atLeast"/>
        <w:rPr>
          <w:rFonts w:ascii="宋体" w:hAnsi="宋体"/>
          <w:color w:val="000000"/>
          <w:sz w:val="24"/>
        </w:rPr>
      </w:pPr>
      <w:r>
        <w:rPr>
          <w:rFonts w:ascii="宋体" w:hAnsi="宋体"/>
          <w:color w:val="000000"/>
          <w:sz w:val="24"/>
        </w:rPr>
        <w:t>4</w:t>
      </w:r>
      <w:r>
        <w:rPr>
          <w:rFonts w:hint="eastAsia" w:ascii="宋体" w:hAnsi="宋体"/>
          <w:color w:val="000000"/>
          <w:sz w:val="24"/>
        </w:rPr>
        <w:t>、同意为投标人制造投标货物的制造厂并附有制造厂的资格声明：</w:t>
      </w:r>
    </w:p>
    <w:p w14:paraId="7D3D4B18">
      <w:pPr>
        <w:tabs>
          <w:tab w:val="left" w:pos="5580"/>
        </w:tabs>
        <w:spacing w:before="120" w:line="22" w:lineRule="atLeast"/>
        <w:ind w:firstLine="720" w:firstLineChars="300"/>
        <w:rPr>
          <w:rFonts w:ascii="宋体" w:hAnsi="宋体"/>
          <w:color w:val="000000"/>
          <w:sz w:val="24"/>
        </w:rPr>
      </w:pPr>
      <w:r>
        <w:rPr>
          <w:rFonts w:hint="eastAsia" w:ascii="宋体" w:hAnsi="宋体"/>
          <w:color w:val="000000"/>
          <w:sz w:val="24"/>
        </w:rPr>
        <w:t>制造厂名称和地址　　　　　制造项目和数量</w:t>
      </w:r>
    </w:p>
    <w:p w14:paraId="3376E363">
      <w:pPr>
        <w:tabs>
          <w:tab w:val="left" w:pos="360"/>
          <w:tab w:val="left" w:pos="5580"/>
        </w:tabs>
        <w:spacing w:before="120" w:line="22" w:lineRule="atLeast"/>
        <w:ind w:firstLine="360"/>
        <w:rPr>
          <w:rFonts w:ascii="宋体" w:hAnsi="宋体"/>
          <w:color w:val="000000"/>
          <w:sz w:val="24"/>
        </w:rPr>
      </w:pPr>
      <w:r>
        <w:rPr>
          <w:rFonts w:ascii="宋体" w:hAnsi="宋体"/>
          <w:color w:val="000000"/>
          <w:sz w:val="24"/>
        </w:rPr>
        <w:t>_____________________</w:t>
      </w:r>
      <w:r>
        <w:rPr>
          <w:rFonts w:hint="eastAsia" w:ascii="宋体" w:hAnsi="宋体"/>
          <w:color w:val="000000"/>
          <w:sz w:val="24"/>
        </w:rPr>
        <w:t xml:space="preserve">　 </w:t>
      </w:r>
      <w:r>
        <w:rPr>
          <w:rFonts w:ascii="宋体" w:hAnsi="宋体"/>
          <w:color w:val="000000"/>
          <w:sz w:val="24"/>
        </w:rPr>
        <w:t>_____________________________</w:t>
      </w:r>
    </w:p>
    <w:p w14:paraId="72FE169E">
      <w:pPr>
        <w:tabs>
          <w:tab w:val="left" w:pos="5580"/>
        </w:tabs>
        <w:spacing w:before="120" w:line="22" w:lineRule="atLeast"/>
        <w:ind w:firstLine="454"/>
        <w:rPr>
          <w:rFonts w:ascii="宋体" w:hAnsi="宋体"/>
          <w:color w:val="000000"/>
          <w:sz w:val="24"/>
        </w:rPr>
      </w:pPr>
      <w:r>
        <w:rPr>
          <w:rFonts w:ascii="宋体" w:hAnsi="宋体"/>
          <w:color w:val="000000"/>
          <w:sz w:val="24"/>
        </w:rPr>
        <w:t>____________________</w:t>
      </w:r>
      <w:r>
        <w:rPr>
          <w:rFonts w:hint="eastAsia" w:ascii="宋体" w:hAnsi="宋体"/>
          <w:color w:val="000000"/>
          <w:sz w:val="24"/>
        </w:rPr>
        <w:t xml:space="preserve">　 </w:t>
      </w:r>
      <w:r>
        <w:rPr>
          <w:rFonts w:ascii="宋体" w:hAnsi="宋体"/>
          <w:color w:val="000000"/>
          <w:sz w:val="24"/>
        </w:rPr>
        <w:t>_____________________________</w:t>
      </w:r>
    </w:p>
    <w:p w14:paraId="18B69A72">
      <w:pPr>
        <w:tabs>
          <w:tab w:val="left" w:pos="5580"/>
        </w:tabs>
        <w:spacing w:before="120" w:line="22" w:lineRule="atLeast"/>
        <w:rPr>
          <w:rFonts w:ascii="宋体" w:hAnsi="宋体"/>
          <w:color w:val="000000"/>
          <w:sz w:val="24"/>
        </w:rPr>
      </w:pPr>
      <w:r>
        <w:rPr>
          <w:rFonts w:ascii="宋体" w:hAnsi="宋体"/>
          <w:color w:val="000000"/>
          <w:sz w:val="24"/>
        </w:rPr>
        <w:t>5</w:t>
      </w:r>
      <w:r>
        <w:rPr>
          <w:rFonts w:hint="eastAsia" w:ascii="宋体" w:hAnsi="宋体"/>
          <w:color w:val="000000"/>
          <w:sz w:val="24"/>
        </w:rPr>
        <w:t>、须由其它制造厂家供应和制造的部件</w:t>
      </w:r>
      <w:r>
        <w:rPr>
          <w:rFonts w:ascii="宋体" w:hAnsi="宋体"/>
          <w:color w:val="000000"/>
          <w:sz w:val="24"/>
        </w:rPr>
        <w:t>(</w:t>
      </w:r>
      <w:r>
        <w:rPr>
          <w:rFonts w:hint="eastAsia" w:ascii="宋体" w:hAnsi="宋体"/>
          <w:color w:val="000000"/>
          <w:sz w:val="24"/>
        </w:rPr>
        <w:t>如果有的话</w:t>
      </w:r>
      <w:r>
        <w:rPr>
          <w:rFonts w:ascii="宋体" w:hAnsi="宋体"/>
          <w:color w:val="000000"/>
          <w:sz w:val="24"/>
        </w:rPr>
        <w:t>)</w:t>
      </w:r>
      <w:r>
        <w:rPr>
          <w:rFonts w:hint="eastAsia" w:ascii="宋体" w:hAnsi="宋体"/>
          <w:color w:val="000000"/>
          <w:sz w:val="24"/>
        </w:rPr>
        <w:t>：</w:t>
      </w:r>
    </w:p>
    <w:p w14:paraId="304FC262">
      <w:pPr>
        <w:tabs>
          <w:tab w:val="left" w:pos="5580"/>
        </w:tabs>
        <w:spacing w:before="120" w:line="22" w:lineRule="atLeast"/>
        <w:ind w:left="454" w:firstLine="454"/>
        <w:rPr>
          <w:rFonts w:ascii="宋体" w:hAnsi="宋体"/>
          <w:color w:val="000000"/>
          <w:sz w:val="24"/>
        </w:rPr>
      </w:pPr>
      <w:r>
        <w:rPr>
          <w:rFonts w:hint="eastAsia" w:ascii="宋体" w:hAnsi="宋体"/>
          <w:color w:val="000000"/>
          <w:sz w:val="24"/>
        </w:rPr>
        <w:t>制造厂名称和地址　　　　　　制造项目</w:t>
      </w:r>
    </w:p>
    <w:p w14:paraId="7EE10190">
      <w:pPr>
        <w:tabs>
          <w:tab w:val="left" w:pos="5580"/>
        </w:tabs>
        <w:spacing w:before="120" w:line="22" w:lineRule="atLeast"/>
        <w:ind w:firstLine="360" w:firstLineChars="150"/>
        <w:rPr>
          <w:rFonts w:ascii="宋体" w:hAnsi="宋体"/>
          <w:color w:val="000000"/>
          <w:sz w:val="24"/>
        </w:rPr>
      </w:pPr>
      <w:r>
        <w:rPr>
          <w:rFonts w:ascii="宋体" w:hAnsi="宋体"/>
          <w:color w:val="000000"/>
          <w:sz w:val="24"/>
        </w:rPr>
        <w:t>_____________________</w:t>
      </w:r>
      <w:r>
        <w:rPr>
          <w:rFonts w:hint="eastAsia" w:ascii="宋体" w:hAnsi="宋体"/>
          <w:color w:val="000000"/>
          <w:sz w:val="24"/>
        </w:rPr>
        <w:t xml:space="preserve">　  </w:t>
      </w:r>
      <w:r>
        <w:rPr>
          <w:rFonts w:ascii="宋体" w:hAnsi="宋体"/>
          <w:color w:val="000000"/>
          <w:sz w:val="24"/>
        </w:rPr>
        <w:t>_______________________</w:t>
      </w:r>
    </w:p>
    <w:p w14:paraId="1905FAF5">
      <w:pPr>
        <w:tabs>
          <w:tab w:val="left" w:pos="5580"/>
        </w:tabs>
        <w:spacing w:before="120" w:line="22" w:lineRule="atLeast"/>
        <w:ind w:firstLine="360" w:firstLineChars="150"/>
        <w:rPr>
          <w:rFonts w:ascii="宋体" w:hAnsi="宋体"/>
          <w:color w:val="000000"/>
          <w:sz w:val="24"/>
        </w:rPr>
      </w:pPr>
      <w:r>
        <w:rPr>
          <w:rFonts w:ascii="宋体" w:hAnsi="宋体"/>
          <w:color w:val="000000"/>
          <w:sz w:val="24"/>
        </w:rPr>
        <w:t>_____________________</w:t>
      </w:r>
      <w:r>
        <w:rPr>
          <w:rFonts w:hint="eastAsia" w:ascii="宋体" w:hAnsi="宋体"/>
          <w:color w:val="000000"/>
          <w:sz w:val="24"/>
        </w:rPr>
        <w:t xml:space="preserve">  　</w:t>
      </w:r>
      <w:r>
        <w:rPr>
          <w:rFonts w:ascii="宋体" w:hAnsi="宋体"/>
          <w:color w:val="000000"/>
          <w:sz w:val="24"/>
        </w:rPr>
        <w:t>_______________________</w:t>
      </w:r>
    </w:p>
    <w:p w14:paraId="15795668">
      <w:pPr>
        <w:tabs>
          <w:tab w:val="left" w:pos="5580"/>
        </w:tabs>
        <w:spacing w:before="120" w:line="22" w:lineRule="atLeast"/>
        <w:rPr>
          <w:rFonts w:ascii="宋体" w:hAnsi="宋体"/>
          <w:color w:val="000000"/>
          <w:sz w:val="24"/>
        </w:rPr>
      </w:pPr>
      <w:r>
        <w:rPr>
          <w:rFonts w:ascii="宋体" w:hAnsi="宋体"/>
          <w:color w:val="000000"/>
          <w:sz w:val="24"/>
        </w:rPr>
        <w:t>6</w:t>
      </w:r>
      <w:r>
        <w:rPr>
          <w:rFonts w:hint="eastAsia" w:ascii="宋体" w:hAnsi="宋体"/>
          <w:color w:val="000000"/>
          <w:sz w:val="24"/>
        </w:rPr>
        <w:t>、最近三年中与各经销商成交的此种投标货物</w:t>
      </w:r>
      <w:r>
        <w:rPr>
          <w:rFonts w:ascii="宋体" w:hAnsi="宋体"/>
          <w:color w:val="000000"/>
          <w:sz w:val="24"/>
        </w:rPr>
        <w:t>(</w:t>
      </w:r>
      <w:r>
        <w:rPr>
          <w:rFonts w:hint="eastAsia" w:ascii="宋体" w:hAnsi="宋体"/>
          <w:color w:val="000000"/>
          <w:sz w:val="24"/>
        </w:rPr>
        <w:t>如果有的话</w:t>
      </w:r>
      <w:r>
        <w:rPr>
          <w:rFonts w:ascii="宋体" w:hAnsi="宋体"/>
          <w:color w:val="000000"/>
          <w:sz w:val="24"/>
        </w:rPr>
        <w:t>)</w:t>
      </w:r>
      <w:r>
        <w:rPr>
          <w:rFonts w:hint="eastAsia" w:ascii="宋体" w:hAnsi="宋体"/>
          <w:color w:val="000000"/>
          <w:sz w:val="24"/>
        </w:rPr>
        <w:t>：</w:t>
      </w:r>
    </w:p>
    <w:p w14:paraId="6AF49F9B">
      <w:pPr>
        <w:tabs>
          <w:tab w:val="left" w:pos="5580"/>
        </w:tabs>
        <w:spacing w:before="120" w:line="22" w:lineRule="atLeast"/>
        <w:ind w:firstLine="360" w:firstLineChars="150"/>
        <w:rPr>
          <w:rFonts w:ascii="宋体" w:hAnsi="宋体"/>
          <w:color w:val="000000"/>
          <w:sz w:val="24"/>
        </w:rPr>
      </w:pPr>
      <w:r>
        <w:rPr>
          <w:rFonts w:hint="eastAsia" w:ascii="宋体" w:hAnsi="宋体"/>
          <w:color w:val="000000"/>
          <w:sz w:val="24"/>
        </w:rPr>
        <w:t>合同号：</w:t>
      </w:r>
      <w:r>
        <w:rPr>
          <w:rFonts w:ascii="宋体" w:hAnsi="宋体"/>
          <w:color w:val="000000"/>
          <w:sz w:val="24"/>
        </w:rPr>
        <w:t>___________________________</w:t>
      </w:r>
    </w:p>
    <w:p w14:paraId="459BF69E">
      <w:pPr>
        <w:tabs>
          <w:tab w:val="left" w:pos="5580"/>
        </w:tabs>
        <w:spacing w:before="120" w:line="22" w:lineRule="atLeast"/>
        <w:ind w:firstLine="360" w:firstLineChars="150"/>
        <w:rPr>
          <w:rFonts w:ascii="宋体" w:hAnsi="宋体"/>
          <w:color w:val="000000"/>
          <w:sz w:val="24"/>
        </w:rPr>
      </w:pPr>
      <w:r>
        <w:rPr>
          <w:rFonts w:hint="eastAsia" w:ascii="宋体" w:hAnsi="宋体"/>
          <w:color w:val="000000"/>
          <w:sz w:val="24"/>
        </w:rPr>
        <w:t>签字日期：</w:t>
      </w:r>
      <w:r>
        <w:rPr>
          <w:rFonts w:ascii="宋体" w:hAnsi="宋体"/>
          <w:color w:val="000000"/>
          <w:sz w:val="24"/>
        </w:rPr>
        <w:t>_________________________</w:t>
      </w:r>
    </w:p>
    <w:p w14:paraId="0B50E83D">
      <w:pPr>
        <w:tabs>
          <w:tab w:val="left" w:pos="5580"/>
        </w:tabs>
        <w:spacing w:before="120" w:line="22" w:lineRule="atLeast"/>
        <w:ind w:firstLine="360" w:firstLineChars="150"/>
        <w:rPr>
          <w:rFonts w:ascii="宋体" w:hAnsi="宋体"/>
          <w:color w:val="000000"/>
          <w:sz w:val="24"/>
        </w:rPr>
      </w:pPr>
      <w:r>
        <w:rPr>
          <w:rFonts w:hint="eastAsia" w:ascii="宋体" w:hAnsi="宋体"/>
          <w:color w:val="000000"/>
          <w:sz w:val="24"/>
        </w:rPr>
        <w:t>产品名称：</w:t>
      </w:r>
      <w:r>
        <w:rPr>
          <w:rFonts w:ascii="宋体" w:hAnsi="宋体"/>
          <w:color w:val="000000"/>
          <w:sz w:val="24"/>
        </w:rPr>
        <w:t>_________________________</w:t>
      </w:r>
    </w:p>
    <w:p w14:paraId="39EA21A9">
      <w:pPr>
        <w:tabs>
          <w:tab w:val="left" w:pos="5580"/>
        </w:tabs>
        <w:spacing w:before="120" w:line="22" w:lineRule="atLeast"/>
        <w:ind w:firstLine="360" w:firstLineChars="150"/>
        <w:rPr>
          <w:rFonts w:ascii="宋体" w:hAnsi="宋体"/>
          <w:color w:val="000000"/>
          <w:sz w:val="24"/>
        </w:rPr>
      </w:pPr>
      <w:r>
        <w:rPr>
          <w:rFonts w:hint="eastAsia" w:ascii="宋体" w:hAnsi="宋体"/>
          <w:color w:val="000000"/>
          <w:sz w:val="24"/>
        </w:rPr>
        <w:t>数量：</w:t>
      </w:r>
      <w:r>
        <w:rPr>
          <w:rFonts w:ascii="宋体" w:hAnsi="宋体"/>
          <w:color w:val="000000"/>
          <w:sz w:val="24"/>
        </w:rPr>
        <w:t>_____________________________</w:t>
      </w:r>
    </w:p>
    <w:p w14:paraId="661A1E65">
      <w:pPr>
        <w:tabs>
          <w:tab w:val="left" w:pos="5580"/>
        </w:tabs>
        <w:spacing w:before="120" w:line="22" w:lineRule="atLeast"/>
        <w:ind w:firstLine="360" w:firstLineChars="150"/>
        <w:rPr>
          <w:rFonts w:ascii="宋体" w:hAnsi="宋体"/>
          <w:color w:val="000000"/>
          <w:sz w:val="24"/>
        </w:rPr>
      </w:pPr>
      <w:r>
        <w:rPr>
          <w:rFonts w:hint="eastAsia" w:ascii="宋体" w:hAnsi="宋体"/>
          <w:color w:val="000000"/>
          <w:sz w:val="24"/>
        </w:rPr>
        <w:t>合同金额</w:t>
      </w:r>
      <w:r>
        <w:rPr>
          <w:rFonts w:ascii="宋体" w:hAnsi="宋体"/>
          <w:color w:val="000000"/>
          <w:sz w:val="24"/>
        </w:rPr>
        <w:t>___________________________</w:t>
      </w:r>
    </w:p>
    <w:p w14:paraId="130CE5E8">
      <w:pPr>
        <w:tabs>
          <w:tab w:val="left" w:pos="5580"/>
        </w:tabs>
        <w:spacing w:before="120" w:line="22" w:lineRule="atLeast"/>
        <w:rPr>
          <w:rFonts w:ascii="宋体" w:hAnsi="宋体"/>
          <w:color w:val="000000"/>
          <w:sz w:val="24"/>
        </w:rPr>
      </w:pPr>
      <w:r>
        <w:rPr>
          <w:rFonts w:ascii="宋体" w:hAnsi="宋体"/>
          <w:color w:val="000000"/>
          <w:sz w:val="24"/>
        </w:rPr>
        <w:t>7</w:t>
      </w:r>
      <w:r>
        <w:rPr>
          <w:rFonts w:hint="eastAsia" w:ascii="宋体" w:hAnsi="宋体"/>
          <w:color w:val="000000"/>
          <w:sz w:val="24"/>
        </w:rPr>
        <w:t>、有关开户银行的名称和地址：</w:t>
      </w:r>
      <w:r>
        <w:rPr>
          <w:rFonts w:ascii="宋体" w:hAnsi="宋体"/>
          <w:color w:val="000000"/>
          <w:sz w:val="24"/>
        </w:rPr>
        <w:t>_____________________________</w:t>
      </w:r>
    </w:p>
    <w:p w14:paraId="70DCA741">
      <w:pPr>
        <w:tabs>
          <w:tab w:val="left" w:pos="5580"/>
        </w:tabs>
        <w:spacing w:before="120" w:line="22" w:lineRule="atLeast"/>
        <w:rPr>
          <w:rFonts w:ascii="宋体" w:hAnsi="宋体"/>
          <w:color w:val="000000"/>
          <w:sz w:val="24"/>
        </w:rPr>
      </w:pPr>
      <w:r>
        <w:rPr>
          <w:rFonts w:ascii="宋体" w:hAnsi="宋体"/>
          <w:color w:val="000000"/>
          <w:sz w:val="24"/>
        </w:rPr>
        <w:t>8</w:t>
      </w:r>
      <w:r>
        <w:rPr>
          <w:rFonts w:hint="eastAsia" w:ascii="宋体" w:hAnsi="宋体"/>
          <w:color w:val="000000"/>
          <w:sz w:val="24"/>
        </w:rPr>
        <w:t>、投标人认为需要声明的其他情况</w:t>
      </w:r>
    </w:p>
    <w:p w14:paraId="5C096EBC">
      <w:pPr>
        <w:tabs>
          <w:tab w:val="left" w:pos="5580"/>
        </w:tabs>
        <w:spacing w:before="120" w:line="22" w:lineRule="atLeast"/>
        <w:ind w:firstLine="454"/>
        <w:rPr>
          <w:rFonts w:ascii="宋体" w:hAnsi="宋体"/>
          <w:color w:val="000000"/>
          <w:sz w:val="24"/>
        </w:rPr>
      </w:pPr>
      <w:r>
        <w:rPr>
          <w:rFonts w:hint="eastAsia" w:ascii="宋体" w:hAnsi="宋体"/>
          <w:color w:val="000000"/>
          <w:sz w:val="24"/>
        </w:rPr>
        <w:t>兹证明上述声明是真实、正确的，并提供了全部能提供的资料和数据，我们同意遵照贵方要求出示有关证明文件。</w:t>
      </w:r>
    </w:p>
    <w:p w14:paraId="70EA0187">
      <w:pPr>
        <w:tabs>
          <w:tab w:val="left" w:pos="5580"/>
        </w:tabs>
        <w:spacing w:before="120" w:line="22" w:lineRule="atLeast"/>
        <w:rPr>
          <w:rFonts w:ascii="宋体" w:hAnsi="宋体"/>
          <w:color w:val="000000"/>
          <w:sz w:val="24"/>
        </w:rPr>
      </w:pPr>
    </w:p>
    <w:p w14:paraId="5C499313">
      <w:pPr>
        <w:tabs>
          <w:tab w:val="left" w:pos="5580"/>
        </w:tabs>
        <w:spacing w:before="120" w:line="22" w:lineRule="atLeast"/>
        <w:ind w:left="454"/>
        <w:rPr>
          <w:rFonts w:ascii="宋体" w:hAnsi="宋体"/>
          <w:color w:val="000000"/>
          <w:sz w:val="24"/>
        </w:rPr>
      </w:pPr>
      <w:r>
        <w:rPr>
          <w:rFonts w:hint="eastAsia" w:ascii="宋体" w:hAnsi="宋体"/>
          <w:color w:val="000000"/>
          <w:sz w:val="24"/>
        </w:rPr>
        <w:t>日  期：</w:t>
      </w:r>
      <w:r>
        <w:rPr>
          <w:rFonts w:ascii="宋体" w:hAnsi="宋体"/>
          <w:color w:val="000000"/>
          <w:sz w:val="24"/>
        </w:rPr>
        <w:t>_________________________________</w:t>
      </w:r>
    </w:p>
    <w:p w14:paraId="0D9C23A3">
      <w:pPr>
        <w:tabs>
          <w:tab w:val="left" w:pos="5580"/>
        </w:tabs>
        <w:spacing w:before="120" w:line="22" w:lineRule="atLeast"/>
        <w:ind w:firstLine="480" w:firstLineChars="200"/>
        <w:rPr>
          <w:rFonts w:ascii="宋体" w:hAnsi="宋体"/>
          <w:color w:val="000000"/>
          <w:sz w:val="24"/>
        </w:rPr>
      </w:pPr>
      <w:r>
        <w:rPr>
          <w:rFonts w:hint="eastAsia" w:ascii="宋体" w:hAnsi="宋体"/>
          <w:color w:val="000000"/>
          <w:sz w:val="24"/>
        </w:rPr>
        <w:t>投标人授权代表</w:t>
      </w:r>
      <w:r>
        <w:rPr>
          <w:rFonts w:ascii="宋体" w:hAnsi="宋体"/>
          <w:color w:val="000000"/>
          <w:sz w:val="24"/>
        </w:rPr>
        <w:t>(</w:t>
      </w:r>
      <w:r>
        <w:rPr>
          <w:rFonts w:hint="eastAsia" w:ascii="宋体" w:hAnsi="宋体"/>
          <w:color w:val="000000"/>
          <w:sz w:val="24"/>
        </w:rPr>
        <w:t>签字或签章</w:t>
      </w:r>
      <w:r>
        <w:rPr>
          <w:rFonts w:ascii="宋体" w:hAnsi="宋体"/>
          <w:color w:val="000000"/>
          <w:sz w:val="24"/>
        </w:rPr>
        <w:t>)</w:t>
      </w:r>
      <w:r>
        <w:rPr>
          <w:rFonts w:hint="eastAsia" w:ascii="宋体" w:hAnsi="宋体"/>
          <w:color w:val="000000"/>
          <w:sz w:val="24"/>
        </w:rPr>
        <w:t>：</w:t>
      </w:r>
      <w:r>
        <w:rPr>
          <w:rFonts w:ascii="宋体" w:hAnsi="宋体"/>
          <w:color w:val="000000"/>
          <w:sz w:val="24"/>
        </w:rPr>
        <w:t>____________</w:t>
      </w:r>
      <w:r>
        <w:rPr>
          <w:rFonts w:ascii="宋体" w:hAnsi="宋体"/>
          <w:color w:val="000000"/>
          <w:sz w:val="24"/>
          <w:u w:val="single"/>
        </w:rPr>
        <w:t xml:space="preserve"> </w:t>
      </w:r>
    </w:p>
    <w:p w14:paraId="3A0FCEA0">
      <w:pPr>
        <w:tabs>
          <w:tab w:val="left" w:pos="5580"/>
        </w:tabs>
        <w:spacing w:before="120" w:line="22" w:lineRule="atLeast"/>
        <w:ind w:firstLine="480" w:firstLineChars="200"/>
        <w:rPr>
          <w:rFonts w:ascii="宋体" w:hAnsi="宋体"/>
          <w:color w:val="000000"/>
          <w:sz w:val="24"/>
        </w:rPr>
      </w:pPr>
      <w:r>
        <w:rPr>
          <w:rFonts w:hint="eastAsia" w:ascii="宋体" w:hAnsi="宋体"/>
          <w:color w:val="000000"/>
          <w:sz w:val="24"/>
        </w:rPr>
        <w:t>投标人授权代表的职务：</w:t>
      </w:r>
      <w:r>
        <w:rPr>
          <w:rFonts w:ascii="宋体" w:hAnsi="宋体"/>
          <w:color w:val="000000"/>
          <w:sz w:val="24"/>
        </w:rPr>
        <w:t>___________________</w:t>
      </w:r>
    </w:p>
    <w:p w14:paraId="0B76A2A0">
      <w:pPr>
        <w:tabs>
          <w:tab w:val="left" w:pos="5580"/>
        </w:tabs>
        <w:spacing w:before="120" w:line="22" w:lineRule="atLeast"/>
        <w:ind w:firstLine="480" w:firstLineChars="200"/>
        <w:rPr>
          <w:rFonts w:ascii="宋体" w:hAnsi="宋体"/>
          <w:color w:val="000000"/>
          <w:sz w:val="24"/>
        </w:rPr>
      </w:pPr>
      <w:r>
        <w:rPr>
          <w:rFonts w:hint="eastAsia" w:ascii="宋体" w:hAnsi="宋体"/>
          <w:color w:val="000000"/>
          <w:sz w:val="24"/>
        </w:rPr>
        <w:t>电  话：</w:t>
      </w:r>
      <w:r>
        <w:rPr>
          <w:rFonts w:ascii="宋体" w:hAnsi="宋体"/>
          <w:color w:val="000000"/>
          <w:sz w:val="24"/>
        </w:rPr>
        <w:t>_________________________________</w:t>
      </w:r>
    </w:p>
    <w:p w14:paraId="61498713">
      <w:pPr>
        <w:tabs>
          <w:tab w:val="left" w:pos="5580"/>
        </w:tabs>
        <w:spacing w:before="120" w:line="360" w:lineRule="auto"/>
        <w:ind w:firstLine="480" w:firstLineChars="200"/>
        <w:rPr>
          <w:rFonts w:ascii="宋体" w:hAnsi="宋体"/>
          <w:color w:val="000000"/>
          <w:sz w:val="24"/>
        </w:rPr>
      </w:pPr>
      <w:r>
        <w:rPr>
          <w:rFonts w:hint="eastAsia" w:ascii="宋体" w:hAnsi="宋体"/>
          <w:color w:val="000000"/>
          <w:sz w:val="24"/>
        </w:rPr>
        <w:t>传  真：</w:t>
      </w:r>
      <w:r>
        <w:rPr>
          <w:rFonts w:ascii="宋体" w:hAnsi="宋体"/>
          <w:color w:val="000000"/>
          <w:sz w:val="24"/>
        </w:rPr>
        <w:t>_________________________________</w:t>
      </w:r>
    </w:p>
    <w:p w14:paraId="5CCFD185">
      <w:pPr>
        <w:pStyle w:val="22"/>
        <w:tabs>
          <w:tab w:val="left" w:pos="5580"/>
        </w:tabs>
        <w:spacing w:line="360" w:lineRule="auto"/>
        <w:ind w:firstLine="480" w:firstLineChars="200"/>
        <w:rPr>
          <w:rFonts w:hAnsi="宋体"/>
          <w:color w:val="000000"/>
          <w:sz w:val="24"/>
        </w:rPr>
      </w:pPr>
      <w:r>
        <w:rPr>
          <w:rFonts w:hint="eastAsia" w:hAnsi="宋体"/>
          <w:color w:val="000000"/>
          <w:sz w:val="24"/>
        </w:rPr>
        <w:t>公  章：</w:t>
      </w:r>
      <w:r>
        <w:rPr>
          <w:rFonts w:hAnsi="宋体"/>
          <w:color w:val="000000"/>
          <w:sz w:val="24"/>
        </w:rPr>
        <w:t>_________________________________</w:t>
      </w:r>
    </w:p>
    <w:p w14:paraId="2BA5D18E">
      <w:pPr>
        <w:pStyle w:val="22"/>
        <w:tabs>
          <w:tab w:val="left" w:pos="5580"/>
        </w:tabs>
        <w:rPr>
          <w:rFonts w:hAnsi="宋体"/>
          <w:color w:val="000000"/>
          <w:sz w:val="24"/>
        </w:rPr>
      </w:pPr>
    </w:p>
    <w:p w14:paraId="13650031">
      <w:pPr>
        <w:pStyle w:val="22"/>
        <w:tabs>
          <w:tab w:val="left" w:pos="5580"/>
        </w:tabs>
        <w:spacing w:line="360" w:lineRule="auto"/>
        <w:ind w:left="424" w:firstLine="240"/>
        <w:jc w:val="center"/>
        <w:rPr>
          <w:b/>
          <w:color w:val="000000"/>
        </w:rPr>
      </w:pPr>
      <w:r>
        <w:rPr>
          <w:color w:val="000000"/>
        </w:rPr>
        <w:br w:type="page"/>
      </w:r>
      <w:r>
        <w:rPr>
          <w:rFonts w:hint="eastAsia"/>
          <w:b/>
          <w:color w:val="000000"/>
          <w:sz w:val="24"/>
          <w:szCs w:val="24"/>
        </w:rPr>
        <w:t>附件</w:t>
      </w:r>
      <w:r>
        <w:rPr>
          <w:b/>
          <w:color w:val="000000"/>
          <w:sz w:val="24"/>
          <w:szCs w:val="24"/>
        </w:rPr>
        <w:t>6</w:t>
      </w:r>
      <w:r>
        <w:rPr>
          <w:rFonts w:hint="eastAsia"/>
          <w:b/>
          <w:color w:val="000000"/>
          <w:sz w:val="24"/>
          <w:szCs w:val="24"/>
        </w:rPr>
        <w:t>-</w:t>
      </w:r>
      <w:r>
        <w:rPr>
          <w:b/>
          <w:color w:val="000000"/>
          <w:sz w:val="24"/>
          <w:szCs w:val="24"/>
        </w:rPr>
        <w:t>5</w:t>
      </w:r>
      <w:r>
        <w:rPr>
          <w:rFonts w:hint="eastAsia"/>
          <w:b/>
          <w:color w:val="000000"/>
          <w:sz w:val="24"/>
          <w:szCs w:val="24"/>
        </w:rPr>
        <w:t>　　　</w:t>
      </w:r>
      <w:r>
        <w:rPr>
          <w:b/>
          <w:color w:val="000000"/>
          <w:sz w:val="24"/>
          <w:szCs w:val="24"/>
        </w:rPr>
        <w:t>投标人的资信证明</w:t>
      </w:r>
    </w:p>
    <w:p w14:paraId="24C515D8">
      <w:pPr>
        <w:tabs>
          <w:tab w:val="left" w:pos="5580"/>
        </w:tabs>
        <w:spacing w:before="120" w:line="360" w:lineRule="auto"/>
        <w:ind w:firstLine="482" w:firstLineChars="200"/>
        <w:jc w:val="center"/>
        <w:rPr>
          <w:rFonts w:ascii="宋体" w:hAnsi="宋体"/>
          <w:b/>
          <w:color w:val="000000"/>
          <w:sz w:val="24"/>
        </w:rPr>
      </w:pPr>
      <w:r>
        <w:rPr>
          <w:rFonts w:hint="eastAsia" w:ascii="宋体" w:hAnsi="宋体"/>
          <w:b/>
          <w:color w:val="000000"/>
          <w:sz w:val="24"/>
        </w:rPr>
        <w:t>会计师事务所出具的2023年年度财务审计报告或银行出具的资信证明</w:t>
      </w:r>
    </w:p>
    <w:p w14:paraId="37E3C23B">
      <w:pPr>
        <w:tabs>
          <w:tab w:val="left" w:pos="5580"/>
        </w:tabs>
        <w:spacing w:before="120" w:line="360" w:lineRule="auto"/>
        <w:ind w:firstLine="480" w:firstLineChars="200"/>
        <w:rPr>
          <w:rFonts w:ascii="宋体" w:hAnsi="宋体"/>
          <w:color w:val="000000"/>
          <w:sz w:val="24"/>
        </w:rPr>
      </w:pPr>
      <w:r>
        <w:rPr>
          <w:rFonts w:hint="eastAsia" w:ascii="宋体" w:hAnsi="宋体"/>
          <w:color w:val="000000"/>
          <w:sz w:val="24"/>
        </w:rPr>
        <w:t>说明：</w:t>
      </w:r>
    </w:p>
    <w:p w14:paraId="379F2534">
      <w:pPr>
        <w:tabs>
          <w:tab w:val="left" w:pos="5580"/>
        </w:tabs>
        <w:spacing w:before="120" w:line="360" w:lineRule="auto"/>
        <w:ind w:firstLine="480" w:firstLineChars="200"/>
        <w:rPr>
          <w:bCs/>
          <w:sz w:val="24"/>
          <w:szCs w:val="24"/>
        </w:rPr>
      </w:pPr>
      <w:r>
        <w:rPr>
          <w:rFonts w:hint="eastAsia" w:ascii="宋体" w:hAnsi="宋体"/>
          <w:color w:val="000000"/>
          <w:sz w:val="24"/>
        </w:rPr>
        <w:t>1、投标人在投标文件中，须提供本单位2023年年度会计师事务所出具的审计报告复印件（</w:t>
      </w:r>
      <w:r>
        <w:rPr>
          <w:rFonts w:hint="eastAsia"/>
          <w:bCs/>
          <w:sz w:val="24"/>
          <w:szCs w:val="24"/>
        </w:rPr>
        <w:t>须包括审计报告正文、资产负债表、利润表和现金流量表复印件，税务审计报告或未加盖会计师事务所公章的财务审计报告无效）</w:t>
      </w:r>
      <w:r>
        <w:rPr>
          <w:rFonts w:hint="eastAsia"/>
          <w:sz w:val="24"/>
          <w:szCs w:val="24"/>
        </w:rPr>
        <w:t>复印件并逐页加盖</w:t>
      </w:r>
      <w:r>
        <w:rPr>
          <w:rFonts w:hint="eastAsia"/>
          <w:bCs/>
          <w:sz w:val="24"/>
          <w:szCs w:val="24"/>
        </w:rPr>
        <w:t>本单位公章。</w:t>
      </w:r>
    </w:p>
    <w:p w14:paraId="6F631893">
      <w:pPr>
        <w:tabs>
          <w:tab w:val="left" w:pos="5580"/>
        </w:tabs>
        <w:spacing w:before="120" w:line="360" w:lineRule="auto"/>
        <w:ind w:firstLine="480" w:firstLineChars="200"/>
        <w:rPr>
          <w:sz w:val="24"/>
          <w:szCs w:val="24"/>
        </w:rPr>
      </w:pPr>
      <w:r>
        <w:rPr>
          <w:rFonts w:hint="eastAsia"/>
          <w:sz w:val="24"/>
          <w:szCs w:val="24"/>
        </w:rPr>
        <w:t>2、如投标人无法提供符合要求的审计报告，则需提供银行出具的资信证明。银行资信证明可提供原件，也可提供银行在在</w:t>
      </w:r>
      <w:r>
        <w:rPr>
          <w:rFonts w:hint="eastAsia"/>
          <w:b/>
          <w:bCs/>
          <w:sz w:val="24"/>
          <w:szCs w:val="24"/>
        </w:rPr>
        <w:t>开标日前三个月内开具</w:t>
      </w:r>
      <w:r>
        <w:rPr>
          <w:rFonts w:hint="eastAsia"/>
          <w:sz w:val="24"/>
          <w:szCs w:val="24"/>
        </w:rPr>
        <w:t>的资信证明的复印件（</w:t>
      </w:r>
      <w:r>
        <w:rPr>
          <w:rFonts w:hint="eastAsia"/>
          <w:b/>
          <w:bCs/>
          <w:sz w:val="24"/>
          <w:szCs w:val="24"/>
        </w:rPr>
        <w:t>开具银行明确表示复印无效的，须提交原件</w:t>
      </w:r>
      <w:r>
        <w:rPr>
          <w:rFonts w:hint="eastAsia"/>
          <w:sz w:val="24"/>
          <w:szCs w:val="24"/>
        </w:rPr>
        <w:t xml:space="preserve">）。若提供的是复印件，采购单位保留审核原件的权利。 </w:t>
      </w:r>
      <w:r>
        <w:rPr>
          <w:sz w:val="24"/>
          <w:szCs w:val="24"/>
        </w:rPr>
        <w:t xml:space="preserve">  </w:t>
      </w:r>
    </w:p>
    <w:p w14:paraId="47B2B3B1">
      <w:pPr>
        <w:tabs>
          <w:tab w:val="left" w:pos="5580"/>
        </w:tabs>
        <w:spacing w:before="120" w:line="360" w:lineRule="auto"/>
        <w:ind w:firstLine="480" w:firstLineChars="200"/>
        <w:rPr>
          <w:sz w:val="24"/>
          <w:szCs w:val="24"/>
        </w:rPr>
      </w:pPr>
      <w:r>
        <w:rPr>
          <w:rFonts w:hint="eastAsia"/>
          <w:sz w:val="24"/>
          <w:szCs w:val="24"/>
        </w:rPr>
        <w:t>3、银行资信证明应能说明该投标人与银行之间业务往来正常，企业信誉良好等。银行出具的存款证明不能替代银行资信证明。</w:t>
      </w:r>
    </w:p>
    <w:p w14:paraId="2DA4638B">
      <w:pPr>
        <w:tabs>
          <w:tab w:val="left" w:pos="5580"/>
        </w:tabs>
        <w:spacing w:before="120" w:line="360" w:lineRule="auto"/>
        <w:ind w:firstLine="480" w:firstLineChars="200"/>
        <w:rPr>
          <w:rFonts w:ascii="宋体" w:hAnsi="宋体"/>
          <w:color w:val="000000"/>
          <w:sz w:val="24"/>
        </w:rPr>
      </w:pPr>
      <w:r>
        <w:rPr>
          <w:rFonts w:hint="eastAsia"/>
          <w:sz w:val="24"/>
          <w:szCs w:val="24"/>
        </w:rPr>
        <w:t>4、成立一年内的公司可提交验资证明复印件并加盖本单位公章。</w:t>
      </w:r>
      <w:r>
        <w:rPr>
          <w:rFonts w:ascii="宋体" w:hAnsi="宋体"/>
          <w:color w:val="000000"/>
          <w:sz w:val="24"/>
        </w:rPr>
        <w:br w:type="page"/>
      </w:r>
      <w:r>
        <w:rPr>
          <w:rFonts w:ascii="宋体" w:hAnsi="宋体"/>
          <w:b/>
          <w:color w:val="000000"/>
          <w:sz w:val="24"/>
        </w:rPr>
        <w:t>附件6</w:t>
      </w:r>
      <w:r>
        <w:rPr>
          <w:rFonts w:hint="eastAsia" w:ascii="宋体" w:hAnsi="宋体"/>
          <w:b/>
          <w:color w:val="000000"/>
          <w:sz w:val="24"/>
        </w:rPr>
        <w:t>-</w:t>
      </w:r>
      <w:r>
        <w:rPr>
          <w:rFonts w:ascii="宋体" w:hAnsi="宋体"/>
          <w:b/>
          <w:color w:val="000000"/>
          <w:sz w:val="24"/>
        </w:rPr>
        <w:t xml:space="preserve">8 </w:t>
      </w:r>
      <w:r>
        <w:rPr>
          <w:rFonts w:hint="eastAsia" w:ascii="宋体" w:hAnsi="宋体"/>
          <w:b/>
          <w:color w:val="000000"/>
          <w:sz w:val="24"/>
        </w:rPr>
        <w:t>投标人参加采购活动近三年内，在经营活动中没有重大事故、违法记录的声明</w:t>
      </w:r>
    </w:p>
    <w:p w14:paraId="168BA7F6">
      <w:pPr>
        <w:jc w:val="center"/>
        <w:rPr>
          <w:rFonts w:ascii="宋体" w:hAnsi="宋体"/>
          <w:color w:val="000000"/>
          <w:sz w:val="24"/>
        </w:rPr>
      </w:pPr>
    </w:p>
    <w:p w14:paraId="06B74164">
      <w:pPr>
        <w:spacing w:line="360" w:lineRule="auto"/>
        <w:ind w:left="1" w:firstLine="480" w:firstLineChars="200"/>
        <w:rPr>
          <w:rFonts w:ascii="宋体" w:hAnsi="宋体"/>
          <w:color w:val="000000"/>
          <w:kern w:val="0"/>
          <w:sz w:val="24"/>
        </w:rPr>
      </w:pPr>
      <w:r>
        <w:rPr>
          <w:rFonts w:hint="eastAsia" w:ascii="宋体" w:hAnsi="宋体"/>
          <w:color w:val="000000"/>
          <w:kern w:val="0"/>
          <w:sz w:val="24"/>
        </w:rPr>
        <w:t>我公司</w:t>
      </w:r>
      <w:r>
        <w:rPr>
          <w:rFonts w:hint="eastAsia" w:ascii="宋体" w:hAnsi="宋体"/>
          <w:color w:val="000000"/>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采购活动，期限已经届满），特此声明。</w:t>
      </w:r>
    </w:p>
    <w:p w14:paraId="3F545592">
      <w:pPr>
        <w:spacing w:line="360" w:lineRule="auto"/>
        <w:jc w:val="center"/>
        <w:rPr>
          <w:rFonts w:ascii="宋体" w:hAnsi="宋体"/>
          <w:b/>
          <w:color w:val="000000"/>
          <w:kern w:val="0"/>
          <w:sz w:val="24"/>
        </w:rPr>
      </w:pPr>
    </w:p>
    <w:p w14:paraId="21639D61">
      <w:pPr>
        <w:spacing w:line="360" w:lineRule="auto"/>
        <w:jc w:val="center"/>
        <w:rPr>
          <w:rFonts w:ascii="宋体" w:hAnsi="宋体"/>
          <w:b/>
          <w:color w:val="000000"/>
          <w:kern w:val="0"/>
          <w:sz w:val="24"/>
        </w:rPr>
      </w:pPr>
    </w:p>
    <w:p w14:paraId="059955D4">
      <w:pPr>
        <w:pStyle w:val="22"/>
        <w:spacing w:line="360" w:lineRule="auto"/>
        <w:rPr>
          <w:rFonts w:hAnsi="宋体"/>
          <w:color w:val="000000"/>
        </w:rPr>
      </w:pPr>
      <w:r>
        <w:rPr>
          <w:rFonts w:hint="eastAsia" w:hAnsi="宋体"/>
          <w:color w:val="000000"/>
          <w:sz w:val="24"/>
          <w:szCs w:val="24"/>
        </w:rPr>
        <w:t>投标人授权代表签字</w:t>
      </w:r>
      <w:r>
        <w:rPr>
          <w:rFonts w:hint="eastAsia" w:hAnsi="宋体"/>
          <w:color w:val="000000"/>
          <w:sz w:val="24"/>
        </w:rPr>
        <w:t>（签章）</w:t>
      </w:r>
      <w:r>
        <w:rPr>
          <w:rFonts w:hint="eastAsia" w:hAnsi="宋体"/>
          <w:color w:val="000000"/>
          <w:sz w:val="24"/>
          <w:szCs w:val="24"/>
        </w:rPr>
        <w:t>：</w:t>
      </w:r>
      <w:r>
        <w:rPr>
          <w:rFonts w:hint="eastAsia" w:hAnsi="宋体"/>
          <w:color w:val="000000"/>
        </w:rPr>
        <w:t>____________________________</w:t>
      </w:r>
    </w:p>
    <w:p w14:paraId="667E5358">
      <w:pPr>
        <w:spacing w:line="360" w:lineRule="auto"/>
        <w:rPr>
          <w:rFonts w:ascii="宋体" w:hAnsi="宋体"/>
          <w:color w:val="000000"/>
          <w:sz w:val="24"/>
        </w:rPr>
      </w:pPr>
    </w:p>
    <w:p w14:paraId="1750530E">
      <w:pPr>
        <w:rPr>
          <w:rFonts w:ascii="宋体" w:hAnsi="宋体"/>
          <w:color w:val="000000"/>
          <w:sz w:val="24"/>
          <w:u w:val="single"/>
        </w:rPr>
      </w:pPr>
      <w:r>
        <w:rPr>
          <w:rFonts w:hint="eastAsia" w:ascii="宋体" w:hAnsi="宋体"/>
          <w:color w:val="000000"/>
          <w:sz w:val="24"/>
        </w:rPr>
        <w:t xml:space="preserve">投标人(盖章):   </w:t>
      </w:r>
      <w:r>
        <w:rPr>
          <w:rFonts w:hint="eastAsia" w:ascii="宋体" w:hAnsi="宋体"/>
          <w:color w:val="000000"/>
          <w:sz w:val="24"/>
          <w:u w:val="single"/>
        </w:rPr>
        <w:t xml:space="preserve"> </w:t>
      </w:r>
      <w:r>
        <w:rPr>
          <w:rFonts w:ascii="宋体" w:hAnsi="宋体"/>
          <w:color w:val="000000"/>
          <w:sz w:val="24"/>
          <w:u w:val="single"/>
        </w:rPr>
        <w:tab/>
      </w:r>
      <w:r>
        <w:rPr>
          <w:rFonts w:hint="eastAsia" w:ascii="宋体" w:hAnsi="宋体"/>
          <w:color w:val="000000"/>
          <w:sz w:val="24"/>
          <w:u w:val="single"/>
        </w:rPr>
        <w:t xml:space="preserve">                        </w:t>
      </w:r>
    </w:p>
    <w:p w14:paraId="7F8EEBC4">
      <w:pPr>
        <w:rPr>
          <w:rFonts w:ascii="宋体" w:hAnsi="宋体"/>
          <w:color w:val="000000"/>
          <w:sz w:val="24"/>
          <w:u w:val="single"/>
        </w:rPr>
      </w:pPr>
    </w:p>
    <w:p w14:paraId="28F7BA70">
      <w:pPr>
        <w:rPr>
          <w:rFonts w:ascii="宋体" w:hAnsi="宋体"/>
          <w:color w:val="000000"/>
          <w:sz w:val="24"/>
          <w:u w:val="single"/>
        </w:rPr>
      </w:pPr>
    </w:p>
    <w:p w14:paraId="42B81475">
      <w:pPr>
        <w:spacing w:line="360" w:lineRule="auto"/>
        <w:ind w:firstLine="480" w:firstLineChars="200"/>
        <w:rPr>
          <w:rFonts w:ascii="宋体" w:hAnsi="宋体"/>
          <w:color w:val="000000"/>
          <w:sz w:val="24"/>
        </w:rPr>
      </w:pPr>
      <w:r>
        <w:rPr>
          <w:rFonts w:hint="eastAsia" w:ascii="宋体" w:hAnsi="宋体"/>
          <w:color w:val="000000"/>
          <w:sz w:val="24"/>
        </w:rPr>
        <w:t>投标人还需提供在“信用中国”网站（www.creditchina.gov.cn）和中国政府采购网（www.ccgp.gov.cn）的信用信息查询记录截图（须加盖本单位公章。此信用信息查询记录截图的截止时间不能早于本项目投标截止时间前三个日历日）。招标代理机构将于投标截止时间后，通过“信用中国”网站（</w:t>
      </w:r>
      <w:r>
        <w:fldChar w:fldCharType="begin"/>
      </w:r>
      <w:r>
        <w:instrText xml:space="preserve"> HYPERLINK "http://www.creditchina.gov.cn" </w:instrText>
      </w:r>
      <w:r>
        <w:fldChar w:fldCharType="separate"/>
      </w:r>
      <w:r>
        <w:rPr>
          <w:rStyle w:val="49"/>
          <w:rFonts w:hint="eastAsia" w:ascii="宋体" w:hAnsi="宋体"/>
          <w:color w:val="000000"/>
          <w:sz w:val="24"/>
        </w:rPr>
        <w:t>www.creditchina.gov.cn</w:t>
      </w:r>
      <w:r>
        <w:rPr>
          <w:rStyle w:val="49"/>
          <w:rFonts w:hint="eastAsia" w:ascii="宋体" w:hAnsi="宋体"/>
          <w:color w:val="000000"/>
          <w:sz w:val="24"/>
        </w:rPr>
        <w:fldChar w:fldCharType="end"/>
      </w:r>
      <w:r>
        <w:rPr>
          <w:rFonts w:hint="eastAsia" w:ascii="宋体" w:hAnsi="宋体"/>
          <w:color w:val="000000"/>
          <w:sz w:val="24"/>
        </w:rPr>
        <w:t>）和“中国政府采购网”（www.ccgp.gov.cn）等网站对投标人的信用信息进行核查。投标人的信用信息以招标代理机构核查的结果为准并将与其他评审资料一并留存。对列入失信被执行人、重大税收违法案件当事人名单、严重违法失信行为记录名单的供应商，将被拒绝其参与本次采购活动。</w:t>
      </w:r>
    </w:p>
    <w:p w14:paraId="2AF5A811">
      <w:pPr>
        <w:rPr>
          <w:rFonts w:ascii="宋体" w:hAnsi="宋体"/>
          <w:color w:val="000000"/>
          <w:sz w:val="24"/>
        </w:rPr>
      </w:pPr>
    </w:p>
    <w:p w14:paraId="2D3D6CAB">
      <w:pPr>
        <w:rPr>
          <w:rFonts w:ascii="宋体" w:hAnsi="宋体"/>
          <w:color w:val="000000"/>
          <w:sz w:val="24"/>
        </w:rPr>
      </w:pPr>
    </w:p>
    <w:p w14:paraId="287EA374">
      <w:pPr>
        <w:rPr>
          <w:rFonts w:ascii="宋体" w:hAnsi="宋体"/>
          <w:color w:val="000000"/>
          <w:sz w:val="24"/>
        </w:rPr>
      </w:pPr>
    </w:p>
    <w:p w14:paraId="1D516FFC">
      <w:pPr>
        <w:rPr>
          <w:rFonts w:ascii="宋体" w:hAnsi="宋体"/>
          <w:color w:val="000000"/>
          <w:sz w:val="24"/>
        </w:rPr>
      </w:pPr>
    </w:p>
    <w:p w14:paraId="5841DE07">
      <w:pPr>
        <w:rPr>
          <w:rFonts w:ascii="宋体" w:hAnsi="宋体"/>
          <w:color w:val="000000"/>
          <w:sz w:val="24"/>
        </w:rPr>
      </w:pPr>
    </w:p>
    <w:p w14:paraId="71EF9752">
      <w:pPr>
        <w:rPr>
          <w:rFonts w:ascii="宋体" w:hAnsi="宋体"/>
          <w:color w:val="000000"/>
          <w:sz w:val="24"/>
        </w:rPr>
      </w:pPr>
    </w:p>
    <w:p w14:paraId="0F8D0A65">
      <w:pPr>
        <w:rPr>
          <w:rFonts w:ascii="宋体" w:hAnsi="宋体"/>
          <w:color w:val="000000"/>
          <w:sz w:val="24"/>
        </w:rPr>
      </w:pPr>
    </w:p>
    <w:p w14:paraId="30D483DB">
      <w:pPr>
        <w:rPr>
          <w:rFonts w:ascii="宋体" w:hAnsi="宋体"/>
          <w:color w:val="000000"/>
          <w:sz w:val="24"/>
        </w:rPr>
      </w:pPr>
    </w:p>
    <w:p w14:paraId="63D3471E">
      <w:pPr>
        <w:rPr>
          <w:rFonts w:ascii="宋体" w:hAnsi="宋体"/>
          <w:color w:val="000000"/>
          <w:sz w:val="24"/>
        </w:rPr>
      </w:pPr>
    </w:p>
    <w:p w14:paraId="3B5C2C94">
      <w:pPr>
        <w:rPr>
          <w:rFonts w:ascii="宋体" w:hAnsi="宋体"/>
          <w:color w:val="000000"/>
          <w:sz w:val="24"/>
        </w:rPr>
      </w:pPr>
    </w:p>
    <w:p w14:paraId="5A270C12">
      <w:pPr>
        <w:rPr>
          <w:rFonts w:ascii="宋体" w:hAnsi="宋体"/>
          <w:color w:val="000000"/>
          <w:sz w:val="24"/>
        </w:rPr>
      </w:pPr>
    </w:p>
    <w:p w14:paraId="2706F45E">
      <w:pPr>
        <w:rPr>
          <w:rFonts w:ascii="宋体" w:hAnsi="宋体"/>
          <w:color w:val="000000"/>
          <w:sz w:val="24"/>
        </w:rPr>
      </w:pPr>
    </w:p>
    <w:p w14:paraId="50D98E38">
      <w:pPr>
        <w:rPr>
          <w:rFonts w:ascii="宋体" w:hAnsi="宋体"/>
          <w:color w:val="000000"/>
          <w:sz w:val="24"/>
        </w:rPr>
      </w:pPr>
    </w:p>
    <w:p w14:paraId="4531CC8A">
      <w:pPr>
        <w:rPr>
          <w:rFonts w:ascii="宋体" w:hAnsi="宋体"/>
          <w:color w:val="000000"/>
          <w:sz w:val="24"/>
        </w:rPr>
      </w:pPr>
    </w:p>
    <w:p w14:paraId="2280ADF0">
      <w:pPr>
        <w:rPr>
          <w:rFonts w:ascii="宋体" w:hAnsi="宋体"/>
          <w:color w:val="000000"/>
          <w:sz w:val="24"/>
        </w:rPr>
      </w:pPr>
    </w:p>
    <w:p w14:paraId="3D9DA7EE">
      <w:pPr>
        <w:rPr>
          <w:rFonts w:ascii="宋体" w:hAnsi="宋体"/>
          <w:b/>
          <w:color w:val="000000"/>
          <w:sz w:val="24"/>
        </w:rPr>
      </w:pPr>
      <w:r>
        <w:rPr>
          <w:rFonts w:ascii="宋体" w:hAnsi="宋体"/>
          <w:b/>
          <w:color w:val="000000"/>
          <w:sz w:val="24"/>
        </w:rPr>
        <w:t>6</w:t>
      </w:r>
      <w:r>
        <w:rPr>
          <w:rFonts w:hint="eastAsia" w:ascii="宋体" w:hAnsi="宋体"/>
          <w:b/>
          <w:color w:val="000000"/>
          <w:sz w:val="24"/>
        </w:rPr>
        <w:t>-</w:t>
      </w:r>
      <w:r>
        <w:rPr>
          <w:rFonts w:ascii="宋体" w:hAnsi="宋体"/>
          <w:b/>
          <w:color w:val="000000"/>
          <w:sz w:val="24"/>
        </w:rPr>
        <w:t xml:space="preserve">9 </w:t>
      </w:r>
      <w:r>
        <w:rPr>
          <w:rFonts w:hint="eastAsia" w:ascii="宋体" w:hAnsi="宋体"/>
          <w:b/>
          <w:color w:val="000000"/>
          <w:sz w:val="24"/>
        </w:rPr>
        <w:t>招标文件要求的其他证明文件</w:t>
      </w:r>
    </w:p>
    <w:p w14:paraId="644023D6">
      <w:pPr>
        <w:ind w:firstLine="3360" w:firstLineChars="1400"/>
        <w:rPr>
          <w:rFonts w:ascii="宋体" w:hAnsi="宋体"/>
          <w:bCs/>
          <w:color w:val="000000"/>
          <w:sz w:val="24"/>
        </w:rPr>
      </w:pPr>
    </w:p>
    <w:p w14:paraId="0DD2E193">
      <w:pPr>
        <w:spacing w:line="360" w:lineRule="auto"/>
        <w:ind w:firstLine="0" w:firstLineChars="0"/>
        <w:rPr>
          <w:rFonts w:hint="eastAsia" w:ascii="宋体" w:hAnsi="宋体" w:eastAsia="宋体"/>
          <w:b/>
          <w:bCs w:val="0"/>
          <w:color w:val="000000"/>
          <w:sz w:val="24"/>
          <w:lang w:eastAsia="zh-CN"/>
        </w:rPr>
      </w:pPr>
      <w:r>
        <w:rPr>
          <w:rFonts w:hint="eastAsia" w:ascii="宋体" w:hAnsi="宋体"/>
          <w:b/>
          <w:bCs w:val="0"/>
          <w:color w:val="000000"/>
          <w:sz w:val="24"/>
        </w:rPr>
        <w:t>1.所投产品为《道路机动车辆生产企业及产品公告》目录内产品，所投产品厂商应为中央国家机关汽车协议供货入围供应商。</w:t>
      </w:r>
      <w:r>
        <w:rPr>
          <w:rFonts w:hint="eastAsia" w:ascii="宋体" w:hAnsi="宋体"/>
          <w:b/>
          <w:bCs w:val="0"/>
          <w:color w:val="000000"/>
          <w:sz w:val="24"/>
          <w:lang w:eastAsia="zh-CN"/>
        </w:rPr>
        <w:t>（</w:t>
      </w:r>
      <w:r>
        <w:rPr>
          <w:rFonts w:hint="eastAsia" w:ascii="宋体" w:hAnsi="宋体"/>
          <w:b/>
          <w:bCs w:val="0"/>
          <w:color w:val="000000"/>
          <w:sz w:val="24"/>
          <w:lang w:val="en-US" w:eastAsia="zh-CN"/>
        </w:rPr>
        <w:t>提供有效证明材料复印件，加盖投标人公章</w:t>
      </w:r>
      <w:r>
        <w:rPr>
          <w:rFonts w:hint="eastAsia" w:ascii="宋体" w:hAnsi="宋体"/>
          <w:b/>
          <w:bCs w:val="0"/>
          <w:color w:val="000000"/>
          <w:sz w:val="24"/>
          <w:lang w:eastAsia="zh-CN"/>
        </w:rPr>
        <w:t>）</w:t>
      </w:r>
    </w:p>
    <w:p w14:paraId="0BABA26F">
      <w:pPr>
        <w:spacing w:line="360" w:lineRule="auto"/>
        <w:ind w:firstLine="0" w:firstLineChars="0"/>
        <w:rPr>
          <w:rFonts w:ascii="宋体" w:hAnsi="宋体"/>
          <w:b/>
          <w:bCs w:val="0"/>
          <w:color w:val="000000"/>
          <w:sz w:val="24"/>
        </w:rPr>
      </w:pPr>
      <w:r>
        <w:rPr>
          <w:rFonts w:hint="eastAsia" w:ascii="宋体" w:hAnsi="宋体"/>
          <w:b/>
          <w:bCs w:val="0"/>
          <w:color w:val="000000"/>
          <w:sz w:val="24"/>
        </w:rPr>
        <w:t>2.相关单位一览表</w:t>
      </w:r>
    </w:p>
    <w:p w14:paraId="5283400F">
      <w:pPr>
        <w:spacing w:line="360" w:lineRule="auto"/>
        <w:ind w:firstLine="480" w:firstLineChars="200"/>
        <w:rPr>
          <w:rFonts w:ascii="宋体" w:hAnsi="宋体"/>
          <w:bCs/>
          <w:color w:val="000000"/>
          <w:sz w:val="24"/>
        </w:rPr>
      </w:pPr>
      <w:r>
        <w:rPr>
          <w:rFonts w:hint="eastAsia" w:ascii="宋体" w:hAnsi="宋体"/>
          <w:bCs/>
          <w:color w:val="000000"/>
          <w:sz w:val="24"/>
        </w:rPr>
        <w:t>投标人应如实列出</w:t>
      </w:r>
      <w:r>
        <w:rPr>
          <w:rFonts w:hint="eastAsia" w:ascii="宋体" w:hAnsi="宋体"/>
          <w:color w:val="000000"/>
          <w:sz w:val="24"/>
        </w:rPr>
        <w:t>与投标人的</w:t>
      </w:r>
      <w:r>
        <w:rPr>
          <w:rFonts w:hint="eastAsia" w:ascii="宋体" w:hAnsi="宋体"/>
          <w:bCs/>
          <w:color w:val="000000"/>
          <w:sz w:val="24"/>
        </w:rPr>
        <w:t>负责人为同一人或者存在直接控股、管理关系的单位名单；</w:t>
      </w:r>
      <w:r>
        <w:rPr>
          <w:rFonts w:hint="eastAsia" w:ascii="宋体" w:hAnsi="宋体" w:cs="宋体"/>
          <w:color w:val="000000"/>
          <w:kern w:val="0"/>
          <w:sz w:val="24"/>
          <w:szCs w:val="24"/>
        </w:rPr>
        <w:t>与招标人存在利害关系可能影响招标公正性的法人、其他组织或者个人名单，</w:t>
      </w:r>
      <w:r>
        <w:rPr>
          <w:rFonts w:hint="eastAsia" w:ascii="宋体" w:hAnsi="宋体"/>
          <w:bCs/>
          <w:color w:val="000000"/>
          <w:sz w:val="24"/>
        </w:rPr>
        <w:t>并加盖公章</w:t>
      </w:r>
      <w:r>
        <w:rPr>
          <w:rFonts w:hint="eastAsia" w:ascii="宋体" w:hAnsi="宋体"/>
          <w:color w:val="000000"/>
          <w:sz w:val="24"/>
        </w:rPr>
        <w:t>。</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6924"/>
      </w:tblGrid>
      <w:tr w14:paraId="1DC23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6" w:type="dxa"/>
            <w:gridSpan w:val="2"/>
            <w:vAlign w:val="center"/>
          </w:tcPr>
          <w:p w14:paraId="103D6116">
            <w:pPr>
              <w:jc w:val="center"/>
              <w:rPr>
                <w:rFonts w:ascii="宋体" w:hAnsi="宋体"/>
                <w:color w:val="000000"/>
                <w:sz w:val="24"/>
              </w:rPr>
            </w:pPr>
            <w:r>
              <w:rPr>
                <w:rFonts w:ascii="宋体" w:hAnsi="宋体"/>
                <w:color w:val="000000"/>
                <w:sz w:val="24"/>
              </w:rPr>
              <w:t>与投标人的负责人为同一人的其他单位名称</w:t>
            </w:r>
          </w:p>
        </w:tc>
      </w:tr>
      <w:tr w14:paraId="00EE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2" w:type="dxa"/>
            <w:vAlign w:val="center"/>
          </w:tcPr>
          <w:p w14:paraId="3DBC4E9B">
            <w:pPr>
              <w:jc w:val="center"/>
              <w:rPr>
                <w:rFonts w:ascii="宋体" w:hAnsi="宋体"/>
                <w:color w:val="000000"/>
                <w:sz w:val="24"/>
              </w:rPr>
            </w:pPr>
            <w:r>
              <w:rPr>
                <w:rFonts w:ascii="宋体" w:hAnsi="宋体"/>
                <w:color w:val="000000"/>
                <w:sz w:val="24"/>
              </w:rPr>
              <w:t>1</w:t>
            </w:r>
          </w:p>
        </w:tc>
        <w:tc>
          <w:tcPr>
            <w:tcW w:w="6924" w:type="dxa"/>
            <w:vAlign w:val="center"/>
          </w:tcPr>
          <w:p w14:paraId="7C205F21">
            <w:pPr>
              <w:jc w:val="center"/>
              <w:rPr>
                <w:rFonts w:ascii="宋体" w:hAnsi="宋体"/>
                <w:color w:val="000000"/>
                <w:sz w:val="24"/>
              </w:rPr>
            </w:pPr>
            <w:r>
              <w:rPr>
                <w:rFonts w:ascii="宋体" w:hAnsi="宋体"/>
                <w:color w:val="000000"/>
                <w:sz w:val="24"/>
              </w:rPr>
              <w:t>（单位名称）</w:t>
            </w:r>
          </w:p>
        </w:tc>
      </w:tr>
      <w:tr w14:paraId="092B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2" w:type="dxa"/>
            <w:vAlign w:val="center"/>
          </w:tcPr>
          <w:p w14:paraId="579124DB">
            <w:pPr>
              <w:jc w:val="center"/>
              <w:rPr>
                <w:rFonts w:ascii="宋体" w:hAnsi="宋体"/>
                <w:color w:val="000000"/>
                <w:sz w:val="24"/>
              </w:rPr>
            </w:pPr>
            <w:r>
              <w:rPr>
                <w:rFonts w:ascii="宋体" w:hAnsi="宋体"/>
                <w:color w:val="000000"/>
                <w:sz w:val="24"/>
              </w:rPr>
              <w:t>2</w:t>
            </w:r>
          </w:p>
        </w:tc>
        <w:tc>
          <w:tcPr>
            <w:tcW w:w="6924" w:type="dxa"/>
            <w:vAlign w:val="center"/>
          </w:tcPr>
          <w:p w14:paraId="763FD068">
            <w:pPr>
              <w:jc w:val="center"/>
              <w:rPr>
                <w:rFonts w:ascii="宋体" w:hAnsi="宋体"/>
                <w:b/>
                <w:color w:val="000000"/>
                <w:sz w:val="24"/>
              </w:rPr>
            </w:pPr>
            <w:r>
              <w:rPr>
                <w:rFonts w:ascii="宋体" w:hAnsi="宋体"/>
                <w:b/>
                <w:color w:val="000000"/>
                <w:sz w:val="24"/>
              </w:rPr>
              <w:t>……</w:t>
            </w:r>
          </w:p>
        </w:tc>
      </w:tr>
      <w:tr w14:paraId="35E95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2" w:type="dxa"/>
            <w:vAlign w:val="center"/>
          </w:tcPr>
          <w:p w14:paraId="5371D381">
            <w:pPr>
              <w:jc w:val="center"/>
              <w:rPr>
                <w:rFonts w:ascii="宋体" w:hAnsi="宋体"/>
                <w:b/>
                <w:color w:val="000000"/>
                <w:sz w:val="24"/>
              </w:rPr>
            </w:pPr>
            <w:r>
              <w:rPr>
                <w:rFonts w:ascii="宋体" w:hAnsi="宋体"/>
                <w:b/>
                <w:color w:val="000000"/>
                <w:sz w:val="24"/>
              </w:rPr>
              <w:t>…</w:t>
            </w:r>
          </w:p>
        </w:tc>
        <w:tc>
          <w:tcPr>
            <w:tcW w:w="6924" w:type="dxa"/>
            <w:vAlign w:val="center"/>
          </w:tcPr>
          <w:p w14:paraId="50CBCFA2">
            <w:pPr>
              <w:jc w:val="center"/>
              <w:rPr>
                <w:rFonts w:ascii="宋体" w:hAnsi="宋体"/>
                <w:b/>
                <w:color w:val="000000"/>
                <w:sz w:val="24"/>
              </w:rPr>
            </w:pPr>
            <w:r>
              <w:rPr>
                <w:rFonts w:ascii="宋体" w:hAnsi="宋体"/>
                <w:b/>
                <w:color w:val="000000"/>
                <w:sz w:val="24"/>
              </w:rPr>
              <w:t>……</w:t>
            </w:r>
          </w:p>
        </w:tc>
      </w:tr>
      <w:tr w14:paraId="3153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6" w:type="dxa"/>
            <w:gridSpan w:val="2"/>
            <w:vAlign w:val="center"/>
          </w:tcPr>
          <w:p w14:paraId="53A9BA0F">
            <w:pPr>
              <w:jc w:val="center"/>
              <w:rPr>
                <w:rFonts w:ascii="宋体" w:hAnsi="宋体"/>
                <w:color w:val="000000"/>
                <w:sz w:val="24"/>
              </w:rPr>
            </w:pPr>
            <w:r>
              <w:rPr>
                <w:rFonts w:ascii="宋体" w:hAnsi="宋体"/>
                <w:color w:val="000000"/>
                <w:sz w:val="24"/>
              </w:rPr>
              <w:t>与投标人存在直接控股、管理关系的其他单位名称</w:t>
            </w:r>
          </w:p>
        </w:tc>
      </w:tr>
      <w:tr w14:paraId="3250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2" w:type="dxa"/>
            <w:vAlign w:val="center"/>
          </w:tcPr>
          <w:p w14:paraId="71550DC2">
            <w:pPr>
              <w:jc w:val="center"/>
              <w:rPr>
                <w:rFonts w:ascii="宋体" w:hAnsi="宋体"/>
                <w:color w:val="000000"/>
                <w:sz w:val="24"/>
              </w:rPr>
            </w:pPr>
            <w:r>
              <w:rPr>
                <w:rFonts w:ascii="宋体" w:hAnsi="宋体"/>
                <w:color w:val="000000"/>
                <w:sz w:val="24"/>
              </w:rPr>
              <w:t>1</w:t>
            </w:r>
          </w:p>
        </w:tc>
        <w:tc>
          <w:tcPr>
            <w:tcW w:w="6924" w:type="dxa"/>
            <w:vAlign w:val="center"/>
          </w:tcPr>
          <w:p w14:paraId="66FDD139">
            <w:pPr>
              <w:jc w:val="center"/>
              <w:rPr>
                <w:rFonts w:ascii="宋体" w:hAnsi="宋体"/>
                <w:color w:val="000000"/>
                <w:sz w:val="24"/>
              </w:rPr>
            </w:pPr>
            <w:r>
              <w:rPr>
                <w:rFonts w:ascii="宋体" w:hAnsi="宋体"/>
                <w:color w:val="000000"/>
                <w:sz w:val="24"/>
              </w:rPr>
              <w:t>（单位名称）</w:t>
            </w:r>
          </w:p>
        </w:tc>
      </w:tr>
      <w:tr w14:paraId="5D05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2" w:type="dxa"/>
            <w:vAlign w:val="center"/>
          </w:tcPr>
          <w:p w14:paraId="4FA86A45">
            <w:pPr>
              <w:jc w:val="center"/>
              <w:rPr>
                <w:rFonts w:ascii="宋体" w:hAnsi="宋体"/>
                <w:color w:val="000000"/>
                <w:sz w:val="24"/>
              </w:rPr>
            </w:pPr>
            <w:r>
              <w:rPr>
                <w:rFonts w:ascii="宋体" w:hAnsi="宋体"/>
                <w:color w:val="000000"/>
                <w:sz w:val="24"/>
              </w:rPr>
              <w:t>2</w:t>
            </w:r>
          </w:p>
        </w:tc>
        <w:tc>
          <w:tcPr>
            <w:tcW w:w="6924" w:type="dxa"/>
            <w:vAlign w:val="center"/>
          </w:tcPr>
          <w:p w14:paraId="0B01BEE6">
            <w:pPr>
              <w:jc w:val="center"/>
              <w:rPr>
                <w:rFonts w:ascii="宋体" w:hAnsi="宋体"/>
                <w:b/>
                <w:color w:val="000000"/>
                <w:sz w:val="24"/>
              </w:rPr>
            </w:pPr>
            <w:r>
              <w:rPr>
                <w:rFonts w:ascii="宋体" w:hAnsi="宋体"/>
                <w:b/>
                <w:color w:val="000000"/>
                <w:sz w:val="24"/>
              </w:rPr>
              <w:t>……</w:t>
            </w:r>
          </w:p>
        </w:tc>
      </w:tr>
      <w:tr w14:paraId="0139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2" w:type="dxa"/>
            <w:vAlign w:val="center"/>
          </w:tcPr>
          <w:p w14:paraId="2A597B8A">
            <w:pPr>
              <w:jc w:val="center"/>
              <w:rPr>
                <w:rFonts w:ascii="宋体" w:hAnsi="宋体"/>
                <w:b/>
                <w:color w:val="000000"/>
                <w:sz w:val="24"/>
              </w:rPr>
            </w:pPr>
            <w:r>
              <w:rPr>
                <w:rFonts w:ascii="宋体" w:hAnsi="宋体"/>
                <w:b/>
                <w:color w:val="000000"/>
                <w:sz w:val="24"/>
              </w:rPr>
              <w:t>…</w:t>
            </w:r>
          </w:p>
        </w:tc>
        <w:tc>
          <w:tcPr>
            <w:tcW w:w="6924" w:type="dxa"/>
            <w:vAlign w:val="center"/>
          </w:tcPr>
          <w:p w14:paraId="45E51A93">
            <w:pPr>
              <w:jc w:val="center"/>
              <w:rPr>
                <w:rFonts w:ascii="宋体" w:hAnsi="宋体"/>
                <w:b/>
                <w:color w:val="000000"/>
                <w:sz w:val="24"/>
              </w:rPr>
            </w:pPr>
            <w:r>
              <w:rPr>
                <w:rFonts w:ascii="宋体" w:hAnsi="宋体"/>
                <w:b/>
                <w:color w:val="000000"/>
                <w:sz w:val="24"/>
              </w:rPr>
              <w:t>……</w:t>
            </w:r>
          </w:p>
        </w:tc>
      </w:tr>
      <w:tr w14:paraId="5FDA1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6" w:type="dxa"/>
            <w:gridSpan w:val="2"/>
            <w:vAlign w:val="center"/>
          </w:tcPr>
          <w:p w14:paraId="0EEAC6D2">
            <w:pPr>
              <w:ind w:firstLine="480"/>
              <w:rPr>
                <w:rFonts w:ascii="宋体" w:hAnsi="宋体"/>
                <w:color w:val="000000"/>
                <w:sz w:val="24"/>
              </w:rPr>
            </w:pPr>
            <w:r>
              <w:rPr>
                <w:rFonts w:ascii="宋体" w:hAnsi="宋体" w:cs="宋体"/>
                <w:color w:val="000000"/>
                <w:kern w:val="0"/>
                <w:sz w:val="24"/>
                <w:szCs w:val="24"/>
              </w:rPr>
              <w:t>与招标人存在利害关系可能影响招标公正性的法人、其他组织或者个人</w:t>
            </w:r>
          </w:p>
        </w:tc>
      </w:tr>
      <w:tr w14:paraId="1EBB4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2" w:type="dxa"/>
            <w:vAlign w:val="center"/>
          </w:tcPr>
          <w:p w14:paraId="4D1591A2">
            <w:pPr>
              <w:jc w:val="center"/>
              <w:rPr>
                <w:rFonts w:ascii="宋体" w:hAnsi="宋体"/>
                <w:b/>
                <w:color w:val="000000"/>
                <w:sz w:val="24"/>
              </w:rPr>
            </w:pPr>
            <w:r>
              <w:rPr>
                <w:rFonts w:ascii="宋体" w:hAnsi="宋体"/>
                <w:color w:val="000000"/>
                <w:sz w:val="24"/>
              </w:rPr>
              <w:t>1</w:t>
            </w:r>
          </w:p>
        </w:tc>
        <w:tc>
          <w:tcPr>
            <w:tcW w:w="6924" w:type="dxa"/>
            <w:vAlign w:val="center"/>
          </w:tcPr>
          <w:p w14:paraId="4F80E418">
            <w:pPr>
              <w:jc w:val="center"/>
              <w:rPr>
                <w:rFonts w:ascii="宋体" w:hAnsi="宋体"/>
                <w:b/>
                <w:color w:val="000000"/>
                <w:sz w:val="24"/>
              </w:rPr>
            </w:pPr>
            <w:r>
              <w:rPr>
                <w:rFonts w:ascii="宋体" w:hAnsi="宋体"/>
                <w:color w:val="000000"/>
                <w:sz w:val="24"/>
              </w:rPr>
              <w:t>（名称）</w:t>
            </w:r>
          </w:p>
        </w:tc>
      </w:tr>
      <w:tr w14:paraId="3FB9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2" w:type="dxa"/>
            <w:vAlign w:val="center"/>
          </w:tcPr>
          <w:p w14:paraId="121E6728">
            <w:pPr>
              <w:jc w:val="center"/>
              <w:rPr>
                <w:rFonts w:ascii="宋体" w:hAnsi="宋体"/>
                <w:b/>
                <w:color w:val="000000"/>
                <w:sz w:val="24"/>
              </w:rPr>
            </w:pPr>
            <w:r>
              <w:rPr>
                <w:rFonts w:ascii="宋体" w:hAnsi="宋体"/>
                <w:color w:val="000000"/>
                <w:sz w:val="24"/>
              </w:rPr>
              <w:t>2</w:t>
            </w:r>
          </w:p>
        </w:tc>
        <w:tc>
          <w:tcPr>
            <w:tcW w:w="6924" w:type="dxa"/>
            <w:vAlign w:val="center"/>
          </w:tcPr>
          <w:p w14:paraId="336834AF">
            <w:pPr>
              <w:jc w:val="center"/>
              <w:rPr>
                <w:rFonts w:ascii="宋体" w:hAnsi="宋体"/>
                <w:b/>
                <w:color w:val="000000"/>
                <w:sz w:val="24"/>
              </w:rPr>
            </w:pPr>
            <w:r>
              <w:rPr>
                <w:rFonts w:ascii="宋体" w:hAnsi="宋体"/>
                <w:b/>
                <w:color w:val="000000"/>
                <w:sz w:val="24"/>
              </w:rPr>
              <w:t>……</w:t>
            </w:r>
          </w:p>
        </w:tc>
      </w:tr>
      <w:tr w14:paraId="7BC9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2" w:type="dxa"/>
            <w:vAlign w:val="center"/>
          </w:tcPr>
          <w:p w14:paraId="5D6682E4">
            <w:pPr>
              <w:jc w:val="center"/>
              <w:rPr>
                <w:rFonts w:ascii="宋体" w:hAnsi="宋体"/>
                <w:b/>
                <w:color w:val="000000"/>
                <w:sz w:val="24"/>
              </w:rPr>
            </w:pPr>
            <w:r>
              <w:rPr>
                <w:rFonts w:ascii="宋体" w:hAnsi="宋体"/>
                <w:b/>
                <w:color w:val="000000"/>
                <w:sz w:val="24"/>
              </w:rPr>
              <w:t>…</w:t>
            </w:r>
          </w:p>
        </w:tc>
        <w:tc>
          <w:tcPr>
            <w:tcW w:w="6924" w:type="dxa"/>
            <w:vAlign w:val="center"/>
          </w:tcPr>
          <w:p w14:paraId="40B85CB7">
            <w:pPr>
              <w:jc w:val="center"/>
              <w:rPr>
                <w:rFonts w:ascii="宋体" w:hAnsi="宋体"/>
                <w:b/>
                <w:color w:val="000000"/>
                <w:sz w:val="24"/>
              </w:rPr>
            </w:pPr>
            <w:r>
              <w:rPr>
                <w:rFonts w:ascii="宋体" w:hAnsi="宋体"/>
                <w:b/>
                <w:color w:val="000000"/>
                <w:sz w:val="24"/>
              </w:rPr>
              <w:t>……</w:t>
            </w:r>
          </w:p>
        </w:tc>
      </w:tr>
    </w:tbl>
    <w:p w14:paraId="01A2DE4C">
      <w:pPr>
        <w:snapToGrid w:val="0"/>
        <w:spacing w:line="360" w:lineRule="auto"/>
        <w:jc w:val="left"/>
        <w:rPr>
          <w:rFonts w:ascii="宋体" w:hAnsi="宋体" w:cs="宋体"/>
          <w:color w:val="000000"/>
          <w:sz w:val="24"/>
          <w:lang w:val="zh-CN"/>
        </w:rPr>
      </w:pPr>
    </w:p>
    <w:p w14:paraId="6036AE66">
      <w:pPr>
        <w:snapToGrid w:val="0"/>
        <w:spacing w:line="360" w:lineRule="auto"/>
        <w:jc w:val="left"/>
        <w:rPr>
          <w:rFonts w:ascii="宋体" w:hAnsi="宋体" w:cs="宋体"/>
          <w:color w:val="000000"/>
          <w:sz w:val="24"/>
          <w:lang w:val="zh-CN"/>
        </w:rPr>
      </w:pPr>
      <w:r>
        <w:rPr>
          <w:rFonts w:hint="eastAsia" w:ascii="宋体" w:hAnsi="宋体" w:cs="宋体"/>
          <w:color w:val="000000"/>
          <w:sz w:val="24"/>
          <w:lang w:val="zh-CN"/>
        </w:rPr>
        <w:t>投标人授权代表签字：</w:t>
      </w:r>
      <w:r>
        <w:rPr>
          <w:rFonts w:hint="eastAsia" w:ascii="宋体" w:hAnsi="宋体" w:cs="宋体"/>
          <w:color w:val="000000"/>
          <w:sz w:val="24"/>
          <w:u w:val="single"/>
          <w:lang w:val="zh-CN"/>
        </w:rPr>
        <w:t xml:space="preserve">              </w:t>
      </w:r>
    </w:p>
    <w:p w14:paraId="2CCD6004">
      <w:pPr>
        <w:spacing w:line="360" w:lineRule="auto"/>
        <w:jc w:val="left"/>
        <w:rPr>
          <w:rFonts w:ascii="宋体" w:hAnsi="宋体"/>
          <w:b/>
          <w:bCs/>
          <w:color w:val="000000"/>
          <w:sz w:val="24"/>
        </w:rPr>
      </w:pPr>
      <w:r>
        <w:rPr>
          <w:rFonts w:hint="eastAsia" w:ascii="宋体" w:hAnsi="宋体"/>
          <w:color w:val="000000"/>
          <w:sz w:val="24"/>
        </w:rPr>
        <w:t>投标人公章：</w:t>
      </w:r>
      <w:r>
        <w:rPr>
          <w:rFonts w:hint="eastAsia" w:ascii="宋体" w:hAnsi="宋体"/>
          <w:color w:val="000000"/>
          <w:sz w:val="24"/>
          <w:u w:val="single"/>
        </w:rPr>
        <w:t>　　　　　　　　　</w:t>
      </w:r>
      <w:r>
        <w:rPr>
          <w:rFonts w:ascii="宋体" w:hAnsi="宋体"/>
          <w:color w:val="000000"/>
          <w:sz w:val="24"/>
          <w:u w:val="single"/>
        </w:rPr>
        <w:t xml:space="preserve">    </w:t>
      </w:r>
    </w:p>
    <w:p w14:paraId="5DE93A0A">
      <w:pPr>
        <w:jc w:val="left"/>
        <w:rPr>
          <w:rFonts w:ascii="宋体" w:hAnsi="宋体"/>
          <w:color w:val="000000"/>
          <w:sz w:val="24"/>
        </w:rPr>
      </w:pPr>
    </w:p>
    <w:p w14:paraId="57648180">
      <w:pPr>
        <w:spacing w:line="360" w:lineRule="auto"/>
        <w:jc w:val="left"/>
        <w:rPr>
          <w:rFonts w:ascii="宋体" w:hAnsi="宋体"/>
          <w:color w:val="000000"/>
          <w:sz w:val="24"/>
        </w:rPr>
      </w:pPr>
      <w:r>
        <w:rPr>
          <w:rFonts w:hint="eastAsia" w:ascii="宋体" w:hAnsi="宋体"/>
          <w:color w:val="000000"/>
          <w:sz w:val="24"/>
        </w:rPr>
        <w:t>注：（1）如投标人没有表中列示的相关单位、</w:t>
      </w:r>
      <w:r>
        <w:rPr>
          <w:rFonts w:hint="eastAsia" w:ascii="宋体" w:hAnsi="宋体" w:cs="宋体"/>
          <w:color w:val="000000"/>
          <w:kern w:val="0"/>
          <w:sz w:val="24"/>
          <w:szCs w:val="24"/>
        </w:rPr>
        <w:t>其他组织或者个人</w:t>
      </w:r>
      <w:r>
        <w:rPr>
          <w:rFonts w:hint="eastAsia" w:ascii="宋体" w:hAnsi="宋体"/>
          <w:color w:val="000000"/>
          <w:sz w:val="24"/>
        </w:rPr>
        <w:t>，请填写“无”。</w:t>
      </w:r>
    </w:p>
    <w:p w14:paraId="45C8EC9B">
      <w:pPr>
        <w:spacing w:line="360" w:lineRule="auto"/>
        <w:ind w:left="1140" w:leftChars="200" w:hanging="720" w:hangingChars="300"/>
        <w:jc w:val="left"/>
        <w:rPr>
          <w:rFonts w:ascii="宋体" w:hAnsi="宋体"/>
          <w:color w:val="000000"/>
          <w:sz w:val="24"/>
        </w:rPr>
      </w:pPr>
      <w:r>
        <w:rPr>
          <w:rFonts w:hint="eastAsia" w:ascii="宋体" w:hAnsi="宋体"/>
          <w:color w:val="000000"/>
          <w:sz w:val="24"/>
        </w:rPr>
        <w:t>（2）单位负责人是指单位法定代表人或者法律、行政法规规定代表单位行</w:t>
      </w:r>
    </w:p>
    <w:p w14:paraId="4829DFBC">
      <w:pPr>
        <w:spacing w:line="360" w:lineRule="auto"/>
        <w:ind w:left="1050" w:leftChars="500"/>
        <w:jc w:val="left"/>
        <w:rPr>
          <w:rFonts w:ascii="宋体" w:hAnsi="宋体"/>
          <w:color w:val="000000"/>
          <w:sz w:val="24"/>
        </w:rPr>
      </w:pPr>
      <w:r>
        <w:rPr>
          <w:rFonts w:hint="eastAsia" w:ascii="宋体" w:hAnsi="宋体"/>
          <w:color w:val="000000"/>
          <w:sz w:val="24"/>
        </w:rPr>
        <w:t>使职权的主要负责人。</w:t>
      </w:r>
    </w:p>
    <w:p w14:paraId="0978F895">
      <w:pPr>
        <w:spacing w:line="360" w:lineRule="auto"/>
        <w:ind w:left="900" w:leftChars="200" w:hanging="480" w:hangingChars="200"/>
        <w:rPr>
          <w:rFonts w:ascii="宋体" w:hAnsi="宋体"/>
          <w:color w:val="000000"/>
          <w:sz w:val="24"/>
        </w:rPr>
      </w:pPr>
      <w:r>
        <w:rPr>
          <w:rFonts w:hint="eastAsia" w:ascii="宋体" w:hAnsi="宋体"/>
          <w:color w:val="000000"/>
          <w:sz w:val="24"/>
        </w:rPr>
        <w:t>（3）控股关系是指单位或个人股东的控股关系，管理关系是指不具有出资</w:t>
      </w:r>
    </w:p>
    <w:p w14:paraId="00E511F9">
      <w:pPr>
        <w:spacing w:line="360" w:lineRule="auto"/>
        <w:ind w:left="840" w:leftChars="400" w:firstLine="240" w:firstLineChars="100"/>
        <w:rPr>
          <w:rFonts w:ascii="宋体" w:hAnsi="宋体"/>
          <w:color w:val="000000"/>
          <w:sz w:val="24"/>
        </w:rPr>
      </w:pPr>
      <w:r>
        <w:rPr>
          <w:rFonts w:hint="eastAsia" w:ascii="宋体" w:hAnsi="宋体"/>
          <w:color w:val="000000"/>
          <w:sz w:val="24"/>
        </w:rPr>
        <w:t>持股关系的其他单位之间存在的管理与被管理关系。</w:t>
      </w:r>
    </w:p>
    <w:p w14:paraId="6EEF2684">
      <w:pPr>
        <w:ind w:firstLine="480"/>
        <w:rPr>
          <w:rFonts w:ascii="宋体" w:hAnsi="宋体"/>
          <w:color w:val="000000"/>
          <w:sz w:val="24"/>
        </w:rPr>
      </w:pPr>
    </w:p>
    <w:p w14:paraId="67A58479">
      <w:pPr>
        <w:ind w:firstLine="480"/>
        <w:rPr>
          <w:rFonts w:ascii="宋体" w:hAnsi="宋体"/>
          <w:color w:val="000000"/>
          <w:sz w:val="24"/>
        </w:rPr>
      </w:pPr>
    </w:p>
    <w:p w14:paraId="53D7F856">
      <w:pPr>
        <w:ind w:firstLine="480"/>
        <w:rPr>
          <w:rFonts w:ascii="宋体" w:hAnsi="宋体"/>
          <w:color w:val="000000"/>
          <w:sz w:val="24"/>
        </w:rPr>
      </w:pPr>
    </w:p>
    <w:p w14:paraId="1F5EE80A">
      <w:pPr>
        <w:rPr>
          <w:rFonts w:ascii="宋体" w:hAnsi="宋体"/>
          <w:b/>
          <w:bCs/>
          <w:color w:val="000000"/>
          <w:sz w:val="24"/>
        </w:rPr>
      </w:pPr>
      <w:r>
        <w:rPr>
          <w:rFonts w:hint="eastAsia" w:ascii="宋体" w:hAnsi="宋体"/>
          <w:b/>
          <w:color w:val="000000"/>
          <w:sz w:val="24"/>
        </w:rPr>
        <w:t>附件</w:t>
      </w:r>
      <w:r>
        <w:rPr>
          <w:rFonts w:ascii="宋体" w:hAnsi="宋体"/>
          <w:b/>
          <w:color w:val="000000"/>
          <w:sz w:val="24"/>
        </w:rPr>
        <w:t xml:space="preserve">7. </w:t>
      </w:r>
      <w:r>
        <w:rPr>
          <w:rFonts w:hint="eastAsia" w:ascii="宋体" w:hAnsi="宋体"/>
          <w:b/>
          <w:color w:val="000000"/>
          <w:sz w:val="24"/>
        </w:rPr>
        <w:t>投标人认为必要的其他证明文件</w:t>
      </w:r>
    </w:p>
    <w:p w14:paraId="16F89796">
      <w:pPr>
        <w:pStyle w:val="3"/>
        <w:rPr>
          <w:rFonts w:ascii="宋体" w:hAnsi="宋体" w:eastAsia="宋体"/>
          <w:color w:val="000000"/>
          <w:sz w:val="24"/>
          <w:szCs w:val="24"/>
        </w:rPr>
      </w:pPr>
      <w:bookmarkStart w:id="68" w:name="_Toc236477673"/>
      <w:r>
        <w:rPr>
          <w:rFonts w:ascii="宋体" w:hAnsi="宋体" w:eastAsia="宋体"/>
          <w:color w:val="000000"/>
          <w:sz w:val="24"/>
          <w:szCs w:val="24"/>
        </w:rPr>
        <w:t>附件8</w:t>
      </w:r>
      <w:r>
        <w:rPr>
          <w:rFonts w:hint="eastAsia" w:ascii="宋体" w:hAnsi="宋体" w:eastAsia="宋体"/>
          <w:color w:val="000000"/>
          <w:sz w:val="24"/>
          <w:szCs w:val="24"/>
        </w:rPr>
        <w:t>. 业绩证明文件</w:t>
      </w:r>
      <w:r>
        <w:rPr>
          <w:rFonts w:hint="eastAsia" w:ascii="宋体" w:hAnsi="宋体" w:eastAsia="宋体"/>
          <w:b w:val="0"/>
          <w:color w:val="000000"/>
          <w:sz w:val="24"/>
          <w:szCs w:val="24"/>
        </w:rPr>
        <w:t>（</w:t>
      </w:r>
      <w:r>
        <w:rPr>
          <w:rFonts w:ascii="宋体" w:hAnsi="宋体" w:eastAsia="宋体" w:cs="Arial"/>
          <w:b w:val="0"/>
          <w:color w:val="000000"/>
          <w:sz w:val="24"/>
          <w:szCs w:val="24"/>
        </w:rPr>
        <w:t>需提供完整的合同复印件并加盖投标单位公章</w:t>
      </w:r>
      <w:r>
        <w:rPr>
          <w:rFonts w:hint="eastAsia" w:ascii="宋体" w:hAnsi="宋体" w:eastAsia="宋体"/>
          <w:b w:val="0"/>
          <w:color w:val="000000"/>
          <w:sz w:val="24"/>
          <w:szCs w:val="24"/>
        </w:rPr>
        <w:t>）</w:t>
      </w:r>
    </w:p>
    <w:p w14:paraId="59DC01B3">
      <w:pPr>
        <w:pStyle w:val="3"/>
        <w:rPr>
          <w:rFonts w:ascii="宋体" w:hAnsi="宋体" w:eastAsia="宋体"/>
          <w:color w:val="000000"/>
          <w:sz w:val="24"/>
          <w:szCs w:val="24"/>
        </w:rPr>
      </w:pPr>
      <w:r>
        <w:rPr>
          <w:rFonts w:hint="eastAsia" w:ascii="宋体" w:hAnsi="宋体" w:eastAsia="宋体"/>
          <w:color w:val="000000"/>
          <w:sz w:val="24"/>
          <w:szCs w:val="24"/>
        </w:rPr>
        <w:t>附件</w:t>
      </w:r>
      <w:r>
        <w:rPr>
          <w:rFonts w:ascii="宋体" w:hAnsi="宋体" w:eastAsia="宋体"/>
          <w:color w:val="000000"/>
          <w:sz w:val="24"/>
          <w:szCs w:val="24"/>
        </w:rPr>
        <w:t>9</w:t>
      </w:r>
      <w:r>
        <w:rPr>
          <w:rFonts w:hint="eastAsia" w:ascii="宋体" w:hAnsi="宋体" w:eastAsia="宋体"/>
          <w:color w:val="000000"/>
          <w:sz w:val="24"/>
          <w:szCs w:val="24"/>
        </w:rPr>
        <w:t>.</w:t>
      </w:r>
      <w:r>
        <w:rPr>
          <w:rFonts w:ascii="宋体" w:hAnsi="宋体" w:eastAsia="宋体"/>
          <w:color w:val="000000"/>
          <w:sz w:val="24"/>
          <w:szCs w:val="24"/>
        </w:rPr>
        <w:t xml:space="preserve"> </w:t>
      </w:r>
      <w:r>
        <w:rPr>
          <w:rFonts w:hint="eastAsia" w:ascii="宋体" w:hAnsi="宋体" w:eastAsia="宋体"/>
          <w:color w:val="000000"/>
          <w:sz w:val="24"/>
          <w:szCs w:val="24"/>
        </w:rPr>
        <w:t>技术方案</w:t>
      </w:r>
      <w:bookmarkEnd w:id="68"/>
    </w:p>
    <w:p w14:paraId="683A104F">
      <w:pPr>
        <w:widowControl/>
        <w:spacing w:line="360" w:lineRule="auto"/>
        <w:jc w:val="left"/>
        <w:rPr>
          <w:rFonts w:ascii="宋体" w:hAnsi="宋体"/>
          <w:color w:val="000000"/>
          <w:spacing w:val="8"/>
          <w:sz w:val="24"/>
        </w:rPr>
      </w:pPr>
      <w:r>
        <w:rPr>
          <w:rFonts w:hint="eastAsia" w:ascii="宋体" w:hAnsi="宋体"/>
          <w:color w:val="000000"/>
          <w:spacing w:val="8"/>
          <w:sz w:val="24"/>
        </w:rPr>
        <w:t>应包括（但不限于）：</w:t>
      </w:r>
    </w:p>
    <w:p w14:paraId="16909033">
      <w:pPr>
        <w:widowControl/>
        <w:spacing w:line="360" w:lineRule="auto"/>
        <w:jc w:val="left"/>
        <w:rPr>
          <w:rFonts w:ascii="宋体" w:hAnsi="宋体"/>
          <w:color w:val="000000"/>
          <w:spacing w:val="8"/>
          <w:sz w:val="24"/>
        </w:rPr>
      </w:pPr>
      <w:r>
        <w:rPr>
          <w:rFonts w:hint="eastAsia" w:ascii="宋体" w:hAnsi="宋体"/>
          <w:color w:val="000000"/>
          <w:spacing w:val="8"/>
          <w:sz w:val="24"/>
        </w:rPr>
        <w:t>（1）详细的技术指标；</w:t>
      </w:r>
    </w:p>
    <w:p w14:paraId="42F8C4C7">
      <w:pPr>
        <w:spacing w:line="360" w:lineRule="auto"/>
        <w:rPr>
          <w:rFonts w:ascii="宋体" w:hAnsi="宋体"/>
          <w:color w:val="000000"/>
          <w:spacing w:val="8"/>
          <w:sz w:val="24"/>
        </w:rPr>
      </w:pPr>
      <w:r>
        <w:rPr>
          <w:rFonts w:hint="eastAsia" w:ascii="宋体" w:hAnsi="宋体"/>
          <w:color w:val="000000"/>
          <w:spacing w:val="8"/>
          <w:sz w:val="24"/>
        </w:rPr>
        <w:t>（2）详细的</w:t>
      </w:r>
      <w:r>
        <w:rPr>
          <w:rFonts w:ascii="宋体" w:hAnsi="宋体"/>
          <w:color w:val="000000"/>
          <w:sz w:val="24"/>
          <w:szCs w:val="24"/>
        </w:rPr>
        <w:t>实施进度保障及工程质量保障措施</w:t>
      </w:r>
      <w:r>
        <w:rPr>
          <w:rFonts w:hint="eastAsia" w:ascii="宋体" w:hAnsi="宋体"/>
          <w:color w:val="000000"/>
          <w:spacing w:val="8"/>
          <w:sz w:val="24"/>
        </w:rPr>
        <w:t>；</w:t>
      </w:r>
    </w:p>
    <w:p w14:paraId="5CA1CE5F">
      <w:pPr>
        <w:spacing w:line="360" w:lineRule="auto"/>
        <w:rPr>
          <w:rFonts w:ascii="宋体" w:hAnsi="宋体"/>
          <w:color w:val="000000"/>
          <w:spacing w:val="8"/>
          <w:sz w:val="24"/>
        </w:rPr>
      </w:pPr>
      <w:r>
        <w:rPr>
          <w:rFonts w:hint="eastAsia" w:ascii="宋体" w:hAnsi="宋体"/>
          <w:color w:val="000000"/>
          <w:spacing w:val="8"/>
          <w:sz w:val="24"/>
        </w:rPr>
        <w:t>（3）详细的售后服务及培训方案；</w:t>
      </w:r>
    </w:p>
    <w:p w14:paraId="467708AC">
      <w:pPr>
        <w:spacing w:line="360" w:lineRule="auto"/>
        <w:rPr>
          <w:rFonts w:ascii="宋体" w:hAnsi="宋体"/>
          <w:color w:val="000000"/>
          <w:spacing w:val="8"/>
          <w:sz w:val="24"/>
        </w:rPr>
      </w:pPr>
      <w:r>
        <w:rPr>
          <w:rFonts w:hint="eastAsia" w:ascii="宋体" w:hAnsi="宋体"/>
          <w:bCs/>
          <w:color w:val="000000"/>
          <w:spacing w:val="8"/>
          <w:sz w:val="24"/>
        </w:rPr>
        <w:t>（4）技术支持和服务内容承诺书；</w:t>
      </w:r>
    </w:p>
    <w:p w14:paraId="5F94997B">
      <w:pPr>
        <w:spacing w:line="360" w:lineRule="auto"/>
        <w:ind w:left="768" w:hanging="768" w:hangingChars="300"/>
        <w:rPr>
          <w:rFonts w:ascii="宋体" w:hAnsi="宋体"/>
          <w:bCs/>
          <w:color w:val="000000"/>
          <w:spacing w:val="8"/>
          <w:sz w:val="24"/>
        </w:rPr>
      </w:pPr>
      <w:r>
        <w:rPr>
          <w:rFonts w:hint="eastAsia" w:ascii="宋体" w:hAnsi="宋体"/>
          <w:bCs/>
          <w:color w:val="000000"/>
          <w:spacing w:val="8"/>
          <w:sz w:val="24"/>
        </w:rPr>
        <w:t>（5）招标文件要求投标人提交其它文件，包括但不限于所投主要产品</w:t>
      </w:r>
      <w:r>
        <w:rPr>
          <w:rFonts w:ascii="宋体" w:hAnsi="宋体"/>
          <w:color w:val="000000"/>
          <w:sz w:val="24"/>
          <w:szCs w:val="24"/>
        </w:rPr>
        <w:t>公开发布的产品彩页、说明书</w:t>
      </w:r>
      <w:r>
        <w:rPr>
          <w:rFonts w:hint="eastAsia" w:ascii="宋体" w:hAnsi="宋体"/>
          <w:color w:val="000000"/>
          <w:sz w:val="24"/>
          <w:szCs w:val="24"/>
        </w:rPr>
        <w:t>；</w:t>
      </w:r>
      <w:r>
        <w:rPr>
          <w:rFonts w:ascii="宋体" w:hAnsi="宋体"/>
          <w:color w:val="000000"/>
          <w:sz w:val="24"/>
          <w:szCs w:val="24"/>
        </w:rPr>
        <w:t>或加盖生产厂家公章的技术证明文件</w:t>
      </w:r>
      <w:r>
        <w:rPr>
          <w:rFonts w:hint="eastAsia" w:ascii="宋体" w:hAnsi="宋体"/>
          <w:color w:val="000000"/>
          <w:sz w:val="24"/>
          <w:szCs w:val="24"/>
        </w:rPr>
        <w:t>；</w:t>
      </w:r>
      <w:r>
        <w:rPr>
          <w:rFonts w:ascii="宋体" w:hAnsi="宋体"/>
          <w:color w:val="000000"/>
          <w:sz w:val="24"/>
          <w:szCs w:val="24"/>
        </w:rPr>
        <w:t>或第三方具有检测资质的检测机构出具的产品检测报告的复印件</w:t>
      </w:r>
      <w:r>
        <w:rPr>
          <w:rFonts w:hint="eastAsia" w:ascii="宋体" w:hAnsi="宋体"/>
          <w:bCs/>
          <w:color w:val="000000"/>
          <w:spacing w:val="8"/>
          <w:sz w:val="24"/>
        </w:rPr>
        <w:t>等。</w:t>
      </w:r>
    </w:p>
    <w:p w14:paraId="62D0EC35">
      <w:pPr>
        <w:spacing w:line="360" w:lineRule="auto"/>
        <w:ind w:firstLine="512" w:firstLineChars="200"/>
        <w:rPr>
          <w:rFonts w:ascii="宋体" w:hAnsi="宋体"/>
          <w:color w:val="000000"/>
          <w:spacing w:val="8"/>
          <w:sz w:val="24"/>
        </w:rPr>
      </w:pPr>
    </w:p>
    <w:p w14:paraId="04029602">
      <w:pPr>
        <w:pStyle w:val="3"/>
        <w:tabs>
          <w:tab w:val="left" w:pos="5580"/>
        </w:tabs>
        <w:spacing w:before="120"/>
        <w:rPr>
          <w:rFonts w:ascii="宋体" w:hAnsi="宋体" w:eastAsia="宋体"/>
          <w:color w:val="000000"/>
          <w:sz w:val="24"/>
          <w:szCs w:val="24"/>
        </w:rPr>
      </w:pPr>
      <w:r>
        <w:rPr>
          <w:rFonts w:ascii="宋体" w:hAnsi="宋体"/>
          <w:color w:val="000000"/>
          <w:sz w:val="24"/>
          <w:szCs w:val="24"/>
          <w:u w:val="single"/>
        </w:rPr>
        <w:br w:type="page"/>
      </w:r>
      <w:r>
        <w:rPr>
          <w:rFonts w:hint="eastAsia" w:ascii="宋体" w:hAnsi="宋体" w:eastAsia="宋体"/>
          <w:color w:val="000000"/>
          <w:sz w:val="24"/>
          <w:szCs w:val="24"/>
        </w:rPr>
        <w:t>附件10 代理费承诺书</w:t>
      </w:r>
    </w:p>
    <w:p w14:paraId="72417BA7">
      <w:pPr>
        <w:jc w:val="center"/>
        <w:rPr>
          <w:b/>
        </w:rPr>
      </w:pPr>
    </w:p>
    <w:p w14:paraId="5531A6F5">
      <w:pPr>
        <w:spacing w:line="360" w:lineRule="auto"/>
        <w:rPr>
          <w:sz w:val="24"/>
          <w:szCs w:val="24"/>
        </w:rPr>
      </w:pPr>
      <w:r>
        <w:rPr>
          <w:rFonts w:hint="eastAsia"/>
          <w:sz w:val="24"/>
          <w:szCs w:val="24"/>
        </w:rPr>
        <w:t>致：（采购代理机构）</w:t>
      </w:r>
    </w:p>
    <w:p w14:paraId="6CDEF76B">
      <w:pPr>
        <w:spacing w:line="360" w:lineRule="auto"/>
        <w:rPr>
          <w:sz w:val="24"/>
          <w:szCs w:val="24"/>
        </w:rPr>
      </w:pPr>
    </w:p>
    <w:p w14:paraId="40C6ABB9">
      <w:pPr>
        <w:spacing w:line="360" w:lineRule="auto"/>
        <w:ind w:firstLine="480" w:firstLineChars="200"/>
        <w:rPr>
          <w:sz w:val="24"/>
          <w:szCs w:val="24"/>
        </w:rPr>
      </w:pPr>
      <w:r>
        <w:rPr>
          <w:sz w:val="24"/>
        </w:rPr>
        <w:t>我单位参加贵单位组织采购的项目编号为</w:t>
      </w:r>
      <w:r>
        <w:rPr>
          <w:rFonts w:hint="eastAsia"/>
          <w:sz w:val="24"/>
          <w:u w:val="single"/>
        </w:rPr>
        <w:t xml:space="preserve">          </w:t>
      </w:r>
      <w:r>
        <w:rPr>
          <w:sz w:val="24"/>
        </w:rPr>
        <w:t>的_________项目（填写项目名称）中</w:t>
      </w:r>
      <w:r>
        <w:rPr>
          <w:rFonts w:hint="eastAsia"/>
          <w:sz w:val="24"/>
          <w:u w:val="single"/>
        </w:rPr>
        <w:t xml:space="preserve">     </w:t>
      </w:r>
      <w:r>
        <w:rPr>
          <w:sz w:val="24"/>
        </w:rPr>
        <w:t>包（填写包号）的投标</w:t>
      </w:r>
      <w:r>
        <w:rPr>
          <w:rFonts w:hint="eastAsia"/>
          <w:sz w:val="24"/>
        </w:rPr>
        <w:t>，</w:t>
      </w:r>
      <w:r>
        <w:rPr>
          <w:rFonts w:hint="eastAsia"/>
          <w:sz w:val="24"/>
          <w:szCs w:val="24"/>
        </w:rPr>
        <w:t>若获中标，我们保证在领取中标通知书时按招标文件的规定，以支票、电汇或现金等形式，向贵公司一次性支付应该交纳的代理费。</w:t>
      </w:r>
    </w:p>
    <w:p w14:paraId="20B6A8C2">
      <w:pPr>
        <w:spacing w:line="360" w:lineRule="auto"/>
        <w:rPr>
          <w:sz w:val="24"/>
          <w:szCs w:val="24"/>
        </w:rPr>
      </w:pPr>
    </w:p>
    <w:p w14:paraId="1A74D812">
      <w:pPr>
        <w:spacing w:line="360" w:lineRule="auto"/>
        <w:rPr>
          <w:sz w:val="24"/>
          <w:szCs w:val="24"/>
        </w:rPr>
      </w:pPr>
    </w:p>
    <w:p w14:paraId="0F91E9DB">
      <w:pPr>
        <w:spacing w:line="360" w:lineRule="auto"/>
        <w:rPr>
          <w:sz w:val="24"/>
          <w:szCs w:val="24"/>
        </w:rPr>
      </w:pPr>
    </w:p>
    <w:p w14:paraId="6BC53CB0">
      <w:pPr>
        <w:spacing w:line="360" w:lineRule="auto"/>
        <w:rPr>
          <w:sz w:val="24"/>
          <w:szCs w:val="24"/>
        </w:rPr>
      </w:pPr>
    </w:p>
    <w:p w14:paraId="08B62CBE">
      <w:pPr>
        <w:spacing w:line="360" w:lineRule="auto"/>
        <w:rPr>
          <w:sz w:val="24"/>
          <w:szCs w:val="24"/>
        </w:rPr>
      </w:pPr>
      <w:r>
        <w:rPr>
          <w:rFonts w:hint="eastAsia"/>
          <w:sz w:val="24"/>
          <w:szCs w:val="24"/>
        </w:rPr>
        <w:t>特此承诺。</w:t>
      </w:r>
    </w:p>
    <w:p w14:paraId="4FDF31CA">
      <w:pPr>
        <w:spacing w:line="360" w:lineRule="auto"/>
        <w:rPr>
          <w:sz w:val="24"/>
          <w:szCs w:val="24"/>
        </w:rPr>
      </w:pPr>
    </w:p>
    <w:p w14:paraId="4085F823">
      <w:pPr>
        <w:spacing w:line="360" w:lineRule="auto"/>
        <w:rPr>
          <w:sz w:val="24"/>
          <w:szCs w:val="24"/>
        </w:rPr>
      </w:pPr>
    </w:p>
    <w:p w14:paraId="6E8D23D0">
      <w:pPr>
        <w:spacing w:line="360" w:lineRule="auto"/>
        <w:rPr>
          <w:sz w:val="24"/>
          <w:szCs w:val="24"/>
        </w:rPr>
      </w:pPr>
    </w:p>
    <w:p w14:paraId="37A3DF3E">
      <w:pPr>
        <w:spacing w:line="360" w:lineRule="auto"/>
        <w:rPr>
          <w:sz w:val="24"/>
          <w:szCs w:val="24"/>
        </w:rPr>
      </w:pPr>
    </w:p>
    <w:p w14:paraId="24B830F5">
      <w:pPr>
        <w:pStyle w:val="22"/>
        <w:rPr>
          <w:rFonts w:hAnsi="宋体"/>
          <w:sz w:val="24"/>
        </w:rPr>
      </w:pPr>
      <w:r>
        <w:rPr>
          <w:rFonts w:hint="eastAsia" w:hAnsi="宋体"/>
          <w:sz w:val="24"/>
        </w:rPr>
        <w:t>投标人授权代表签字：____________________________</w:t>
      </w:r>
    </w:p>
    <w:p w14:paraId="493ADBE7">
      <w:pPr>
        <w:pStyle w:val="22"/>
        <w:rPr>
          <w:rFonts w:hAnsi="宋体"/>
          <w:sz w:val="24"/>
        </w:rPr>
      </w:pPr>
    </w:p>
    <w:p w14:paraId="72130FE5">
      <w:pPr>
        <w:pStyle w:val="22"/>
        <w:rPr>
          <w:rFonts w:hAnsi="宋体"/>
          <w:sz w:val="24"/>
        </w:rPr>
      </w:pPr>
      <w:r>
        <w:rPr>
          <w:rFonts w:hint="eastAsia" w:hAnsi="宋体"/>
          <w:sz w:val="24"/>
        </w:rPr>
        <w:t xml:space="preserve">投标人(盖章):   </w:t>
      </w:r>
      <w:r>
        <w:rPr>
          <w:rFonts w:hint="eastAsia" w:hAnsi="宋体"/>
          <w:sz w:val="24"/>
          <w:u w:val="single"/>
        </w:rPr>
        <w:t xml:space="preserve"> </w:t>
      </w:r>
      <w:r>
        <w:rPr>
          <w:rFonts w:hAnsi="宋体"/>
          <w:sz w:val="24"/>
          <w:u w:val="single"/>
        </w:rPr>
        <w:tab/>
      </w:r>
      <w:r>
        <w:rPr>
          <w:rFonts w:hint="eastAsia" w:hAnsi="宋体"/>
          <w:sz w:val="24"/>
          <w:u w:val="single"/>
        </w:rPr>
        <w:t xml:space="preserve">                        </w:t>
      </w:r>
      <w:r>
        <w:rPr>
          <w:rFonts w:hAnsi="宋体"/>
          <w:sz w:val="24"/>
          <w:u w:val="single"/>
        </w:rPr>
        <w:tab/>
      </w:r>
    </w:p>
    <w:p w14:paraId="6055C25E">
      <w:pPr>
        <w:spacing w:line="360" w:lineRule="auto"/>
        <w:rPr>
          <w:sz w:val="24"/>
          <w:szCs w:val="24"/>
          <w:highlight w:val="yellow"/>
        </w:rPr>
      </w:pPr>
      <w:r>
        <w:rPr>
          <w:rFonts w:hint="eastAsia" w:ascii="宋体" w:hAnsi="宋体"/>
          <w:sz w:val="24"/>
        </w:rPr>
        <w:t xml:space="preserve"> </w:t>
      </w:r>
    </w:p>
    <w:p w14:paraId="550E8BDB">
      <w:pPr>
        <w:spacing w:line="360" w:lineRule="auto"/>
        <w:rPr>
          <w:sz w:val="24"/>
          <w:szCs w:val="24"/>
          <w:u w:val="single"/>
        </w:rPr>
      </w:pPr>
      <w:r>
        <w:rPr>
          <w:rFonts w:hint="eastAsia"/>
          <w:sz w:val="24"/>
          <w:szCs w:val="24"/>
        </w:rPr>
        <w:t>日期：</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A182621">
      <w:pPr>
        <w:spacing w:line="360" w:lineRule="auto"/>
        <w:rPr>
          <w:rFonts w:ascii="宋体" w:hAnsi="宋体"/>
          <w:color w:val="000000"/>
          <w:sz w:val="24"/>
          <w:szCs w:val="24"/>
          <w:u w:val="single"/>
        </w:rPr>
      </w:pPr>
    </w:p>
    <w:p w14:paraId="7B7B8418">
      <w:pPr>
        <w:spacing w:line="360" w:lineRule="auto"/>
        <w:rPr>
          <w:rFonts w:ascii="宋体" w:hAnsi="宋体"/>
          <w:color w:val="000000"/>
          <w:sz w:val="24"/>
          <w:szCs w:val="24"/>
          <w:u w:val="single"/>
        </w:rPr>
      </w:pPr>
    </w:p>
    <w:p w14:paraId="4C879131">
      <w:pPr>
        <w:spacing w:line="360" w:lineRule="auto"/>
        <w:rPr>
          <w:rFonts w:ascii="宋体" w:hAnsi="宋体"/>
          <w:color w:val="000000"/>
          <w:sz w:val="24"/>
          <w:szCs w:val="24"/>
          <w:u w:val="single"/>
        </w:rPr>
      </w:pPr>
    </w:p>
    <w:p w14:paraId="07D9E40A">
      <w:pPr>
        <w:spacing w:line="360" w:lineRule="auto"/>
        <w:rPr>
          <w:rFonts w:ascii="宋体" w:hAnsi="宋体"/>
          <w:color w:val="000000"/>
          <w:sz w:val="24"/>
          <w:szCs w:val="24"/>
          <w:u w:val="single"/>
        </w:rPr>
      </w:pPr>
    </w:p>
    <w:p w14:paraId="4D0E01F0">
      <w:pPr>
        <w:spacing w:line="360" w:lineRule="auto"/>
        <w:rPr>
          <w:rFonts w:ascii="宋体" w:hAnsi="宋体"/>
          <w:color w:val="000000"/>
          <w:sz w:val="24"/>
          <w:szCs w:val="24"/>
          <w:u w:val="single"/>
        </w:rPr>
      </w:pPr>
    </w:p>
    <w:p w14:paraId="2D6D37C5">
      <w:pPr>
        <w:spacing w:line="360" w:lineRule="auto"/>
        <w:rPr>
          <w:rFonts w:ascii="宋体" w:hAnsi="宋体"/>
          <w:color w:val="000000"/>
          <w:sz w:val="24"/>
          <w:szCs w:val="24"/>
          <w:u w:val="single"/>
        </w:rPr>
      </w:pPr>
    </w:p>
    <w:p w14:paraId="52014367">
      <w:pPr>
        <w:spacing w:line="360" w:lineRule="auto"/>
        <w:rPr>
          <w:rFonts w:ascii="宋体" w:hAnsi="宋体"/>
          <w:color w:val="000000"/>
          <w:sz w:val="24"/>
          <w:szCs w:val="24"/>
          <w:u w:val="single"/>
        </w:rPr>
      </w:pPr>
    </w:p>
    <w:p w14:paraId="1583A129">
      <w:pPr>
        <w:spacing w:line="360" w:lineRule="auto"/>
        <w:rPr>
          <w:rFonts w:ascii="宋体" w:hAnsi="宋体"/>
          <w:color w:val="000000"/>
          <w:sz w:val="24"/>
          <w:szCs w:val="24"/>
          <w:u w:val="single"/>
        </w:rPr>
      </w:pPr>
    </w:p>
    <w:p w14:paraId="75CA5418">
      <w:pPr>
        <w:spacing w:line="360" w:lineRule="auto"/>
        <w:rPr>
          <w:rFonts w:ascii="宋体" w:hAnsi="宋体"/>
          <w:color w:val="000000"/>
          <w:sz w:val="24"/>
          <w:szCs w:val="24"/>
          <w:u w:val="single"/>
        </w:rPr>
      </w:pPr>
    </w:p>
    <w:p w14:paraId="6E091161">
      <w:pPr>
        <w:spacing w:line="360" w:lineRule="auto"/>
        <w:rPr>
          <w:rFonts w:ascii="宋体" w:hAnsi="宋体"/>
          <w:color w:val="000000"/>
          <w:sz w:val="24"/>
          <w:szCs w:val="24"/>
          <w:u w:val="single"/>
        </w:rPr>
      </w:pPr>
    </w:p>
    <w:p w14:paraId="6CECAF65">
      <w:pPr>
        <w:pStyle w:val="2"/>
        <w:widowControl/>
        <w:spacing w:line="360" w:lineRule="auto"/>
        <w:jc w:val="center"/>
        <w:rPr>
          <w:rFonts w:ascii="宋体" w:hAnsi="宋体"/>
          <w:color w:val="000000"/>
          <w:sz w:val="24"/>
          <w:szCs w:val="24"/>
        </w:rPr>
      </w:pPr>
      <w:bookmarkStart w:id="69" w:name="_Toc21432"/>
      <w:r>
        <w:rPr>
          <w:rFonts w:hint="eastAsia" w:ascii="宋体" w:hAnsi="宋体"/>
          <w:color w:val="000000"/>
          <w:sz w:val="24"/>
          <w:szCs w:val="24"/>
        </w:rPr>
        <w:t>第七章  评标标准</w:t>
      </w:r>
      <w:bookmarkEnd w:id="69"/>
    </w:p>
    <w:p w14:paraId="4F11AAF4">
      <w:pPr>
        <w:pStyle w:val="17"/>
        <w:rPr>
          <w:rFonts w:ascii="宋体" w:hAnsi="宋体"/>
          <w:b/>
          <w:color w:val="000000"/>
          <w:sz w:val="24"/>
          <w:szCs w:val="24"/>
        </w:rPr>
      </w:pPr>
      <w:r>
        <w:rPr>
          <w:rFonts w:hint="eastAsia" w:ascii="宋体" w:hAnsi="宋体"/>
          <w:b/>
          <w:color w:val="000000"/>
          <w:sz w:val="24"/>
          <w:szCs w:val="24"/>
        </w:rPr>
        <w:t>一、评标办法：</w:t>
      </w:r>
    </w:p>
    <w:p w14:paraId="73D836D1">
      <w:pPr>
        <w:pStyle w:val="17"/>
        <w:ind w:firstLine="480" w:firstLineChars="200"/>
        <w:rPr>
          <w:rFonts w:ascii="宋体" w:hAnsi="宋体"/>
          <w:color w:val="000000"/>
          <w:sz w:val="24"/>
          <w:szCs w:val="24"/>
        </w:rPr>
      </w:pPr>
      <w:r>
        <w:rPr>
          <w:rFonts w:hint="eastAsia" w:ascii="宋体" w:hAnsi="宋体"/>
          <w:color w:val="000000"/>
          <w:sz w:val="24"/>
          <w:szCs w:val="24"/>
        </w:rPr>
        <w:t>本次招标采用综合评分法，是指在最大限度地满足招标文件实质性要求前提下，按照招标文件中规定的各项因素进行综合评审后，</w:t>
      </w:r>
      <w:r>
        <w:rPr>
          <w:rFonts w:hint="eastAsia" w:ascii="宋体" w:hAnsi="宋体"/>
          <w:color w:val="000000"/>
          <w:sz w:val="24"/>
        </w:rPr>
        <w:t>以评标总得分按从高到低的顺序取排名前三名的投标人作为预中标候选人推荐给招标人</w:t>
      </w:r>
      <w:r>
        <w:rPr>
          <w:rFonts w:hint="eastAsia" w:ascii="宋体" w:hAnsi="宋体"/>
          <w:color w:val="000000"/>
          <w:sz w:val="24"/>
          <w:szCs w:val="24"/>
        </w:rPr>
        <w:t>的评标方法。</w:t>
      </w:r>
      <w:r>
        <w:rPr>
          <w:rFonts w:ascii="宋体" w:hAnsi="宋体"/>
          <w:color w:val="000000"/>
          <w:sz w:val="24"/>
        </w:rPr>
        <w:t>各部分分值四舍五入到小数点后两位</w:t>
      </w:r>
      <w:r>
        <w:rPr>
          <w:rFonts w:hint="eastAsia" w:ascii="宋体" w:hAnsi="宋体"/>
          <w:color w:val="000000"/>
          <w:sz w:val="24"/>
        </w:rPr>
        <w:t>。</w:t>
      </w:r>
    </w:p>
    <w:p w14:paraId="48BBEA82">
      <w:pPr>
        <w:pStyle w:val="22"/>
        <w:spacing w:line="360" w:lineRule="auto"/>
        <w:rPr>
          <w:rFonts w:ascii="Calibri" w:hAnsi="宋体"/>
          <w:color w:val="000000"/>
          <w:sz w:val="24"/>
          <w:szCs w:val="24"/>
        </w:rPr>
      </w:pPr>
      <w:r>
        <w:rPr>
          <w:rFonts w:hint="eastAsia" w:hAnsi="宋体"/>
          <w:b/>
          <w:color w:val="000000"/>
          <w:sz w:val="24"/>
          <w:szCs w:val="24"/>
        </w:rPr>
        <w:t xml:space="preserve">评分因素所占权重： </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3"/>
        <w:gridCol w:w="1280"/>
        <w:gridCol w:w="6385"/>
        <w:gridCol w:w="844"/>
      </w:tblGrid>
      <w:tr w14:paraId="0CEDF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703" w:type="dxa"/>
            <w:shd w:val="clear" w:color="auto" w:fill="D7D7D7"/>
            <w:vAlign w:val="center"/>
          </w:tcPr>
          <w:p w14:paraId="55ACFAFF">
            <w:pPr>
              <w:pStyle w:val="22"/>
              <w:rPr>
                <w:rFonts w:hAnsi="宋体" w:cs="宋体"/>
                <w:b/>
                <w:szCs w:val="24"/>
              </w:rPr>
            </w:pPr>
            <w:r>
              <w:rPr>
                <w:rFonts w:hint="eastAsia" w:hAnsi="宋体" w:cs="宋体"/>
                <w:b/>
                <w:szCs w:val="24"/>
              </w:rPr>
              <w:t>序号</w:t>
            </w:r>
          </w:p>
        </w:tc>
        <w:tc>
          <w:tcPr>
            <w:tcW w:w="1280" w:type="dxa"/>
            <w:shd w:val="clear" w:color="auto" w:fill="D7D7D7"/>
            <w:vAlign w:val="center"/>
          </w:tcPr>
          <w:p w14:paraId="1B299CD3">
            <w:pPr>
              <w:jc w:val="center"/>
              <w:rPr>
                <w:rFonts w:ascii="宋体" w:hAnsi="宋体" w:cs="宋体"/>
                <w:b/>
                <w:szCs w:val="24"/>
              </w:rPr>
            </w:pPr>
            <w:r>
              <w:rPr>
                <w:rFonts w:hint="eastAsia" w:ascii="宋体" w:hAnsi="宋体" w:cs="宋体"/>
                <w:b/>
                <w:szCs w:val="24"/>
              </w:rPr>
              <w:t>名称</w:t>
            </w:r>
          </w:p>
        </w:tc>
        <w:tc>
          <w:tcPr>
            <w:tcW w:w="6385" w:type="dxa"/>
            <w:shd w:val="clear" w:color="auto" w:fill="D7D7D7"/>
            <w:vAlign w:val="center"/>
          </w:tcPr>
          <w:p w14:paraId="2622D49C">
            <w:pPr>
              <w:jc w:val="center"/>
              <w:rPr>
                <w:rFonts w:ascii="宋体" w:hAnsi="宋体" w:cs="宋体"/>
                <w:b/>
                <w:szCs w:val="24"/>
              </w:rPr>
            </w:pPr>
            <w:r>
              <w:rPr>
                <w:rFonts w:hint="eastAsia" w:ascii="宋体" w:hAnsi="宋体" w:cs="宋体"/>
                <w:b/>
                <w:szCs w:val="24"/>
              </w:rPr>
              <w:t>评审因素及说明</w:t>
            </w:r>
          </w:p>
        </w:tc>
        <w:tc>
          <w:tcPr>
            <w:tcW w:w="844" w:type="dxa"/>
            <w:shd w:val="clear" w:color="auto" w:fill="D7D7D7"/>
            <w:vAlign w:val="center"/>
          </w:tcPr>
          <w:p w14:paraId="0DDEDA9E">
            <w:pPr>
              <w:jc w:val="center"/>
              <w:rPr>
                <w:rFonts w:ascii="宋体" w:hAnsi="宋体" w:cs="宋体"/>
                <w:b/>
                <w:szCs w:val="24"/>
              </w:rPr>
            </w:pPr>
            <w:r>
              <w:rPr>
                <w:rFonts w:hint="eastAsia" w:ascii="宋体" w:hAnsi="宋体" w:cs="宋体"/>
                <w:b/>
                <w:szCs w:val="24"/>
              </w:rPr>
              <w:t>分值</w:t>
            </w:r>
          </w:p>
        </w:tc>
      </w:tr>
      <w:tr w14:paraId="2237E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9212" w:type="dxa"/>
            <w:gridSpan w:val="4"/>
            <w:vAlign w:val="center"/>
          </w:tcPr>
          <w:p w14:paraId="7D781B7B">
            <w:pPr>
              <w:jc w:val="center"/>
              <w:rPr>
                <w:rFonts w:ascii="宋体" w:hAnsi="宋体" w:cs="宋体"/>
                <w:b/>
                <w:szCs w:val="24"/>
              </w:rPr>
            </w:pPr>
            <w:r>
              <w:rPr>
                <w:rFonts w:hint="eastAsia" w:ascii="宋体" w:hAnsi="宋体" w:cs="宋体"/>
                <w:b/>
                <w:szCs w:val="24"/>
              </w:rPr>
              <w:t>一、商务部分（25分）</w:t>
            </w:r>
          </w:p>
        </w:tc>
      </w:tr>
      <w:tr w14:paraId="03C1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jc w:val="center"/>
        </w:trPr>
        <w:tc>
          <w:tcPr>
            <w:tcW w:w="703" w:type="dxa"/>
            <w:vAlign w:val="center"/>
          </w:tcPr>
          <w:p w14:paraId="40E2E2F3">
            <w:pPr>
              <w:jc w:val="center"/>
              <w:rPr>
                <w:rFonts w:ascii="宋体" w:hAnsi="宋体" w:cs="宋体"/>
                <w:szCs w:val="24"/>
              </w:rPr>
            </w:pPr>
            <w:r>
              <w:rPr>
                <w:rFonts w:hint="eastAsia" w:ascii="宋体" w:hAnsi="宋体" w:cs="宋体"/>
                <w:szCs w:val="24"/>
              </w:rPr>
              <w:t>1</w:t>
            </w:r>
          </w:p>
        </w:tc>
        <w:tc>
          <w:tcPr>
            <w:tcW w:w="1280" w:type="dxa"/>
            <w:vAlign w:val="center"/>
          </w:tcPr>
          <w:p w14:paraId="65A5D4B3">
            <w:pPr>
              <w:jc w:val="center"/>
              <w:rPr>
                <w:rFonts w:ascii="宋体" w:hAnsi="宋体" w:cs="宋体"/>
                <w:szCs w:val="24"/>
              </w:rPr>
            </w:pPr>
            <w:r>
              <w:rPr>
                <w:rFonts w:hint="eastAsia" w:ascii="宋体" w:hAnsi="宋体" w:cs="宋体"/>
                <w:szCs w:val="24"/>
              </w:rPr>
              <w:t>认证体系</w:t>
            </w:r>
          </w:p>
        </w:tc>
        <w:tc>
          <w:tcPr>
            <w:tcW w:w="6385" w:type="dxa"/>
            <w:vAlign w:val="center"/>
          </w:tcPr>
          <w:p w14:paraId="2180EEA7">
            <w:pPr>
              <w:rPr>
                <w:rFonts w:ascii="宋体" w:hAnsi="宋体" w:cs="宋体"/>
                <w:szCs w:val="24"/>
              </w:rPr>
            </w:pPr>
            <w:r>
              <w:rPr>
                <w:rFonts w:hint="eastAsia" w:ascii="宋体" w:hAnsi="宋体" w:cs="宋体"/>
                <w:kern w:val="0"/>
                <w:szCs w:val="24"/>
                <w:lang w:bidi="ar"/>
              </w:rPr>
              <w:t>产品制造商质量管理体系认证ISO9001、职业健康安全管理体系认证ISO45001、环境管理体系认证ISO14001，ISO 3834-2焊接质量体系认证，需提供认证证书复印件加盖投标人公章，且在有效期内。每项2分，没有不得分。</w:t>
            </w:r>
          </w:p>
        </w:tc>
        <w:tc>
          <w:tcPr>
            <w:tcW w:w="844" w:type="dxa"/>
            <w:vAlign w:val="center"/>
          </w:tcPr>
          <w:p w14:paraId="222D0830">
            <w:pPr>
              <w:jc w:val="center"/>
              <w:rPr>
                <w:rFonts w:ascii="宋体" w:hAnsi="宋体" w:cs="宋体"/>
                <w:szCs w:val="24"/>
              </w:rPr>
            </w:pPr>
            <w:r>
              <w:rPr>
                <w:rFonts w:hint="eastAsia" w:ascii="宋体" w:hAnsi="宋体" w:cs="宋体"/>
                <w:szCs w:val="24"/>
              </w:rPr>
              <w:t>8</w:t>
            </w:r>
          </w:p>
        </w:tc>
      </w:tr>
      <w:tr w14:paraId="229B3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703" w:type="dxa"/>
            <w:vAlign w:val="center"/>
          </w:tcPr>
          <w:p w14:paraId="4557B63E">
            <w:pPr>
              <w:jc w:val="center"/>
              <w:rPr>
                <w:rFonts w:ascii="宋体" w:hAnsi="宋体" w:cs="宋体"/>
                <w:szCs w:val="24"/>
              </w:rPr>
            </w:pPr>
            <w:r>
              <w:rPr>
                <w:rFonts w:hint="eastAsia" w:ascii="宋体" w:hAnsi="宋体" w:cs="宋体"/>
                <w:szCs w:val="24"/>
              </w:rPr>
              <w:t>2</w:t>
            </w:r>
          </w:p>
        </w:tc>
        <w:tc>
          <w:tcPr>
            <w:tcW w:w="1280" w:type="dxa"/>
            <w:vAlign w:val="center"/>
          </w:tcPr>
          <w:p w14:paraId="7B30936D">
            <w:pPr>
              <w:jc w:val="center"/>
              <w:rPr>
                <w:rFonts w:ascii="宋体" w:hAnsi="宋体" w:cs="宋体"/>
                <w:szCs w:val="24"/>
              </w:rPr>
            </w:pPr>
            <w:r>
              <w:rPr>
                <w:rFonts w:hint="eastAsia" w:ascii="宋体" w:hAnsi="宋体" w:cs="宋体"/>
                <w:szCs w:val="24"/>
              </w:rPr>
              <w:t>业绩</w:t>
            </w:r>
          </w:p>
        </w:tc>
        <w:tc>
          <w:tcPr>
            <w:tcW w:w="6385" w:type="dxa"/>
            <w:vAlign w:val="center"/>
          </w:tcPr>
          <w:p w14:paraId="718B8519">
            <w:pPr>
              <w:rPr>
                <w:rFonts w:ascii="宋体" w:hAnsi="宋体" w:cs="宋体"/>
                <w:szCs w:val="24"/>
              </w:rPr>
            </w:pPr>
            <w:r>
              <w:rPr>
                <w:rFonts w:hint="eastAsia" w:ascii="宋体" w:hAnsi="宋体" w:cs="宋体"/>
                <w:szCs w:val="24"/>
                <w:lang w:val="en-US" w:eastAsia="zh-CN"/>
              </w:rPr>
              <w:t>1.</w:t>
            </w:r>
            <w:r>
              <w:rPr>
                <w:rFonts w:hint="eastAsia" w:ascii="宋体" w:hAnsi="宋体" w:cs="宋体"/>
                <w:szCs w:val="24"/>
              </w:rPr>
              <w:t>提供投标人近2年以来（2023年1月1日至今，以签署日期为准），同类业绩证明文件，每提供一个有效的销售合同得</w:t>
            </w:r>
            <w:r>
              <w:rPr>
                <w:rFonts w:hint="eastAsia" w:ascii="宋体" w:hAnsi="宋体" w:cs="宋体"/>
                <w:szCs w:val="24"/>
                <w:lang w:val="en-US" w:eastAsia="zh-CN"/>
              </w:rPr>
              <w:t>2</w:t>
            </w:r>
            <w:r>
              <w:rPr>
                <w:rFonts w:hint="eastAsia" w:ascii="宋体" w:hAnsi="宋体" w:cs="宋体"/>
                <w:szCs w:val="24"/>
              </w:rPr>
              <w:t>分（大型客车），最高</w:t>
            </w:r>
            <w:r>
              <w:rPr>
                <w:rFonts w:hint="eastAsia" w:ascii="宋体" w:hAnsi="宋体" w:cs="宋体"/>
                <w:szCs w:val="24"/>
                <w:lang w:val="en-US" w:eastAsia="zh-CN"/>
              </w:rPr>
              <w:t>8</w:t>
            </w:r>
            <w:r>
              <w:rPr>
                <w:rFonts w:hint="eastAsia" w:ascii="宋体" w:hAnsi="宋体" w:cs="宋体"/>
                <w:szCs w:val="24"/>
              </w:rPr>
              <w:t>分。</w:t>
            </w:r>
          </w:p>
          <w:p w14:paraId="2DCF85F0">
            <w:pPr>
              <w:rPr>
                <w:rFonts w:hint="eastAsia" w:ascii="宋体" w:hAnsi="宋体" w:cs="宋体"/>
                <w:szCs w:val="24"/>
              </w:rPr>
            </w:pPr>
            <w:r>
              <w:rPr>
                <w:rFonts w:hint="eastAsia" w:ascii="宋体" w:hAnsi="宋体" w:cs="宋体"/>
                <w:szCs w:val="24"/>
              </w:rPr>
              <w:t>注：提供合同关键页复印件，至少包含内容页、金额页、双方签字盖章页，未按要求提供或证明材料无法体现相应内容不得分。</w:t>
            </w:r>
          </w:p>
          <w:p w14:paraId="0A64B4D9">
            <w:pPr>
              <w:rPr>
                <w:rFonts w:hint="default" w:ascii="宋体" w:hAnsi="宋体" w:eastAsia="宋体" w:cs="宋体"/>
                <w:szCs w:val="24"/>
                <w:lang w:val="en-US" w:eastAsia="zh-CN"/>
              </w:rPr>
            </w:pPr>
            <w:r>
              <w:rPr>
                <w:rFonts w:hint="eastAsia" w:ascii="宋体" w:hAnsi="宋体" w:cs="宋体"/>
                <w:szCs w:val="24"/>
                <w:lang w:val="en-US" w:eastAsia="zh-CN"/>
              </w:rPr>
              <w:t>2</w:t>
            </w:r>
            <w:r>
              <w:rPr>
                <w:rFonts w:hint="eastAsia" w:ascii="宋体" w:hAnsi="宋体" w:cs="宋体"/>
                <w:szCs w:val="24"/>
              </w:rPr>
              <w:t>提供投标人</w:t>
            </w:r>
            <w:r>
              <w:rPr>
                <w:rFonts w:hint="eastAsia" w:ascii="宋体" w:hAnsi="宋体" w:cs="宋体"/>
                <w:szCs w:val="24"/>
                <w:lang w:val="en-US" w:eastAsia="zh-CN"/>
              </w:rPr>
              <w:t>所投同品牌同类产品（</w:t>
            </w:r>
            <w:r>
              <w:rPr>
                <w:rFonts w:hint="eastAsia" w:ascii="宋体" w:hAnsi="宋体" w:cs="宋体"/>
                <w:szCs w:val="24"/>
              </w:rPr>
              <w:t>大型客车、中型客车</w:t>
            </w:r>
            <w:r>
              <w:rPr>
                <w:rFonts w:hint="eastAsia" w:ascii="宋体" w:hAnsi="宋体" w:cs="宋体"/>
                <w:szCs w:val="24"/>
                <w:lang w:val="en-US" w:eastAsia="zh-CN"/>
              </w:rPr>
              <w:t>）</w:t>
            </w:r>
            <w:r>
              <w:rPr>
                <w:rFonts w:hint="eastAsia" w:ascii="宋体" w:hAnsi="宋体" w:cs="宋体"/>
                <w:szCs w:val="24"/>
              </w:rPr>
              <w:t>近2年</w:t>
            </w:r>
            <w:r>
              <w:rPr>
                <w:rFonts w:hint="eastAsia" w:ascii="宋体" w:hAnsi="宋体" w:cs="宋体"/>
                <w:szCs w:val="24"/>
                <w:lang w:eastAsia="zh-CN"/>
              </w:rPr>
              <w:t>（</w:t>
            </w:r>
            <w:r>
              <w:rPr>
                <w:rFonts w:hint="eastAsia" w:ascii="宋体" w:hAnsi="宋体" w:cs="宋体"/>
                <w:szCs w:val="24"/>
                <w:lang w:val="en-US" w:eastAsia="zh-CN"/>
              </w:rPr>
              <w:t>2023年及2024年</w:t>
            </w:r>
            <w:r>
              <w:rPr>
                <w:rFonts w:hint="eastAsia" w:ascii="宋体" w:hAnsi="宋体" w:cs="宋体"/>
                <w:szCs w:val="24"/>
                <w:lang w:eastAsia="zh-CN"/>
              </w:rPr>
              <w:t>）</w:t>
            </w:r>
            <w:r>
              <w:rPr>
                <w:rFonts w:hint="eastAsia" w:ascii="宋体" w:hAnsi="宋体" w:cs="宋体"/>
                <w:szCs w:val="24"/>
                <w:lang w:val="en-US" w:eastAsia="zh-CN"/>
              </w:rPr>
              <w:t>业绩情况，</w:t>
            </w:r>
            <w:r>
              <w:rPr>
                <w:rFonts w:hint="eastAsia" w:ascii="宋体" w:hAnsi="宋体" w:cs="宋体"/>
                <w:szCs w:val="24"/>
              </w:rPr>
              <w:t>以证书为准（中国汽车工业协会证书），业绩排名第一得</w:t>
            </w:r>
            <w:r>
              <w:rPr>
                <w:rFonts w:hint="eastAsia" w:ascii="宋体" w:hAnsi="宋体" w:cs="宋体"/>
                <w:szCs w:val="24"/>
                <w:lang w:val="en-US" w:eastAsia="zh-CN"/>
              </w:rPr>
              <w:t>4</w:t>
            </w:r>
            <w:r>
              <w:rPr>
                <w:rFonts w:hint="eastAsia" w:ascii="宋体" w:hAnsi="宋体" w:cs="宋体"/>
                <w:szCs w:val="24"/>
              </w:rPr>
              <w:t>分，第二名得</w:t>
            </w:r>
            <w:r>
              <w:rPr>
                <w:rFonts w:hint="eastAsia" w:ascii="宋体" w:hAnsi="宋体" w:cs="宋体"/>
                <w:szCs w:val="24"/>
                <w:lang w:val="en-US" w:eastAsia="zh-CN"/>
              </w:rPr>
              <w:t>3</w:t>
            </w:r>
            <w:r>
              <w:rPr>
                <w:rFonts w:hint="eastAsia" w:ascii="宋体" w:hAnsi="宋体" w:cs="宋体"/>
                <w:szCs w:val="24"/>
              </w:rPr>
              <w:t>分，每递减一名减</w:t>
            </w:r>
            <w:r>
              <w:rPr>
                <w:rFonts w:hint="eastAsia" w:ascii="宋体" w:hAnsi="宋体" w:cs="宋体"/>
                <w:szCs w:val="24"/>
                <w:lang w:val="en-US" w:eastAsia="zh-CN"/>
              </w:rPr>
              <w:t>1</w:t>
            </w:r>
            <w:r>
              <w:rPr>
                <w:rFonts w:hint="eastAsia" w:ascii="宋体" w:hAnsi="宋体" w:cs="宋体"/>
                <w:szCs w:val="24"/>
              </w:rPr>
              <w:t>分，最高得</w:t>
            </w:r>
            <w:r>
              <w:rPr>
                <w:rFonts w:hint="eastAsia" w:ascii="宋体" w:hAnsi="宋体" w:cs="宋体"/>
                <w:szCs w:val="24"/>
                <w:lang w:val="en-US" w:eastAsia="zh-CN"/>
              </w:rPr>
              <w:t>4</w:t>
            </w:r>
            <w:r>
              <w:rPr>
                <w:rFonts w:hint="eastAsia" w:ascii="宋体" w:hAnsi="宋体" w:cs="宋体"/>
                <w:szCs w:val="24"/>
              </w:rPr>
              <w:t>分，最低得0分</w:t>
            </w:r>
            <w:r>
              <w:rPr>
                <w:rFonts w:hint="eastAsia" w:ascii="宋体" w:hAnsi="宋体" w:cs="宋体"/>
                <w:szCs w:val="24"/>
                <w:lang w:eastAsia="zh-CN"/>
              </w:rPr>
              <w:t>。</w:t>
            </w:r>
          </w:p>
        </w:tc>
        <w:tc>
          <w:tcPr>
            <w:tcW w:w="844" w:type="dxa"/>
            <w:vAlign w:val="center"/>
          </w:tcPr>
          <w:p w14:paraId="53B4A175">
            <w:pPr>
              <w:jc w:val="center"/>
              <w:rPr>
                <w:rFonts w:ascii="宋体" w:hAnsi="宋体" w:cs="宋体"/>
                <w:szCs w:val="24"/>
              </w:rPr>
            </w:pPr>
            <w:r>
              <w:rPr>
                <w:rFonts w:hint="eastAsia" w:ascii="宋体" w:hAnsi="宋体" w:cs="宋体"/>
                <w:szCs w:val="24"/>
              </w:rPr>
              <w:t>12</w:t>
            </w:r>
          </w:p>
        </w:tc>
      </w:tr>
      <w:tr w14:paraId="1468C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703" w:type="dxa"/>
            <w:vAlign w:val="center"/>
          </w:tcPr>
          <w:p w14:paraId="19DB5C2E">
            <w:pPr>
              <w:jc w:val="center"/>
              <w:rPr>
                <w:rFonts w:ascii="宋体" w:hAnsi="宋体" w:cs="宋体"/>
                <w:szCs w:val="24"/>
              </w:rPr>
            </w:pPr>
            <w:r>
              <w:rPr>
                <w:rFonts w:hint="eastAsia" w:ascii="宋体" w:hAnsi="宋体" w:cs="宋体"/>
                <w:szCs w:val="24"/>
              </w:rPr>
              <w:t>3</w:t>
            </w:r>
          </w:p>
        </w:tc>
        <w:tc>
          <w:tcPr>
            <w:tcW w:w="1280" w:type="dxa"/>
            <w:vAlign w:val="center"/>
          </w:tcPr>
          <w:p w14:paraId="2EF4245F">
            <w:pPr>
              <w:jc w:val="center"/>
              <w:rPr>
                <w:rFonts w:ascii="宋体" w:hAnsi="宋体" w:cs="宋体"/>
                <w:szCs w:val="24"/>
              </w:rPr>
            </w:pPr>
            <w:r>
              <w:rPr>
                <w:rFonts w:hint="eastAsia" w:ascii="宋体" w:hAnsi="宋体"/>
                <w:szCs w:val="24"/>
              </w:rPr>
              <w:t>技术荣誉</w:t>
            </w:r>
          </w:p>
        </w:tc>
        <w:tc>
          <w:tcPr>
            <w:tcW w:w="6385" w:type="dxa"/>
            <w:vAlign w:val="center"/>
          </w:tcPr>
          <w:p w14:paraId="169A438C">
            <w:pPr>
              <w:rPr>
                <w:rFonts w:ascii="宋体" w:hAnsi="宋体" w:cs="宋体"/>
                <w:szCs w:val="24"/>
              </w:rPr>
            </w:pPr>
            <w:r>
              <w:rPr>
                <w:rFonts w:hint="eastAsia" w:ascii="宋体" w:hAnsi="宋体" w:cs="宋体"/>
                <w:szCs w:val="24"/>
              </w:rPr>
              <w:t>（1）投标人所投品牌生产制造商2021年以来获得中国汽车工业科学技术奖国家级奖项的得1.5分；</w:t>
            </w:r>
          </w:p>
          <w:p w14:paraId="14A638B7">
            <w:pPr>
              <w:rPr>
                <w:rFonts w:ascii="宋体" w:hAnsi="宋体" w:cs="宋体"/>
                <w:szCs w:val="24"/>
              </w:rPr>
            </w:pPr>
            <w:r>
              <w:rPr>
                <w:rFonts w:hint="eastAsia" w:ascii="宋体" w:hAnsi="宋体" w:cs="宋体"/>
                <w:szCs w:val="24"/>
              </w:rPr>
              <w:t>（2）投标企业2021年以来获中国工业大奖的得1.5分。</w:t>
            </w:r>
          </w:p>
          <w:p w14:paraId="26B52EA3">
            <w:pPr>
              <w:rPr>
                <w:rFonts w:ascii="宋体" w:hAnsi="宋体" w:cs="宋体"/>
                <w:szCs w:val="24"/>
              </w:rPr>
            </w:pPr>
            <w:r>
              <w:rPr>
                <w:rFonts w:hint="eastAsia" w:ascii="宋体" w:hAnsi="宋体" w:cs="宋体"/>
                <w:szCs w:val="24"/>
              </w:rPr>
              <w:t>（3）投标企业获得国家工商总局颁发的重合同守信用企业得1分</w:t>
            </w:r>
          </w:p>
          <w:p w14:paraId="09332DCD">
            <w:pPr>
              <w:rPr>
                <w:rFonts w:ascii="宋体" w:hAnsi="宋体" w:cs="宋体"/>
                <w:szCs w:val="24"/>
              </w:rPr>
            </w:pPr>
            <w:r>
              <w:rPr>
                <w:rFonts w:hint="eastAsia" w:ascii="宋体" w:hAnsi="宋体" w:cs="宋体"/>
                <w:szCs w:val="24"/>
              </w:rPr>
              <w:t>（4）投标企业获工业信息化部授予智能制造试点示范项目得1分。</w:t>
            </w:r>
          </w:p>
          <w:p w14:paraId="6D754B0A">
            <w:pPr>
              <w:rPr>
                <w:rFonts w:ascii="宋体" w:hAnsi="宋体" w:cs="宋体"/>
                <w:szCs w:val="24"/>
              </w:rPr>
            </w:pPr>
            <w:r>
              <w:rPr>
                <w:rFonts w:hint="eastAsia" w:ascii="宋体" w:hAnsi="宋体" w:cs="宋体"/>
                <w:szCs w:val="24"/>
              </w:rPr>
              <w:t>以上四项满分5分。需提供证明材料复印件，未按照要求提供证明材料的不得分。</w:t>
            </w:r>
          </w:p>
        </w:tc>
        <w:tc>
          <w:tcPr>
            <w:tcW w:w="844" w:type="dxa"/>
            <w:vAlign w:val="center"/>
          </w:tcPr>
          <w:p w14:paraId="060FB6C7">
            <w:pPr>
              <w:jc w:val="center"/>
              <w:rPr>
                <w:rFonts w:ascii="宋体" w:hAnsi="宋体" w:cs="宋体"/>
                <w:szCs w:val="24"/>
              </w:rPr>
            </w:pPr>
            <w:r>
              <w:rPr>
                <w:rFonts w:hint="eastAsia" w:ascii="宋体" w:hAnsi="宋体" w:cs="宋体"/>
                <w:szCs w:val="24"/>
              </w:rPr>
              <w:t>5</w:t>
            </w:r>
          </w:p>
        </w:tc>
      </w:tr>
      <w:tr w14:paraId="385F1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9212" w:type="dxa"/>
            <w:gridSpan w:val="4"/>
            <w:vAlign w:val="center"/>
          </w:tcPr>
          <w:p w14:paraId="21E49878">
            <w:pPr>
              <w:jc w:val="center"/>
              <w:rPr>
                <w:rFonts w:ascii="宋体" w:hAnsi="宋体" w:cs="宋体"/>
                <w:b/>
                <w:szCs w:val="24"/>
              </w:rPr>
            </w:pPr>
            <w:r>
              <w:rPr>
                <w:rFonts w:hint="eastAsia" w:ascii="宋体" w:hAnsi="宋体" w:cs="宋体"/>
                <w:b/>
                <w:szCs w:val="24"/>
              </w:rPr>
              <w:t>二、技术部分（45分）</w:t>
            </w:r>
          </w:p>
        </w:tc>
      </w:tr>
      <w:tr w14:paraId="649B8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jc w:val="center"/>
        </w:trPr>
        <w:tc>
          <w:tcPr>
            <w:tcW w:w="703" w:type="dxa"/>
            <w:vAlign w:val="center"/>
          </w:tcPr>
          <w:p w14:paraId="722173CC">
            <w:pPr>
              <w:jc w:val="center"/>
              <w:rPr>
                <w:rFonts w:ascii="宋体" w:hAnsi="宋体" w:cs="宋体"/>
                <w:szCs w:val="24"/>
              </w:rPr>
            </w:pPr>
            <w:r>
              <w:rPr>
                <w:rFonts w:hint="eastAsia" w:ascii="宋体" w:hAnsi="宋体" w:cs="宋体"/>
                <w:szCs w:val="24"/>
              </w:rPr>
              <w:t>1</w:t>
            </w:r>
          </w:p>
        </w:tc>
        <w:tc>
          <w:tcPr>
            <w:tcW w:w="1280" w:type="dxa"/>
            <w:vAlign w:val="center"/>
          </w:tcPr>
          <w:p w14:paraId="463E63ED">
            <w:pPr>
              <w:jc w:val="center"/>
              <w:rPr>
                <w:rFonts w:ascii="宋体" w:hAnsi="宋体" w:cs="宋体"/>
                <w:szCs w:val="24"/>
              </w:rPr>
            </w:pPr>
            <w:r>
              <w:rPr>
                <w:rFonts w:hint="eastAsia" w:ascii="宋体" w:hAnsi="宋体" w:cs="宋体"/>
                <w:szCs w:val="24"/>
              </w:rPr>
              <w:t>服务响应</w:t>
            </w:r>
          </w:p>
        </w:tc>
        <w:tc>
          <w:tcPr>
            <w:tcW w:w="6385" w:type="dxa"/>
            <w:vAlign w:val="center"/>
          </w:tcPr>
          <w:p w14:paraId="7B7FC808">
            <w:pPr>
              <w:rPr>
                <w:rFonts w:ascii="宋体" w:hAnsi="宋体" w:cs="宋体"/>
                <w:szCs w:val="24"/>
              </w:rPr>
            </w:pPr>
            <w:r>
              <w:rPr>
                <w:rFonts w:hint="eastAsia" w:ascii="宋体" w:hAnsi="宋体" w:cs="宋体"/>
                <w:szCs w:val="24"/>
              </w:rPr>
              <w:t>根据投标文件中对招标文件《第六章 技术需求书》的响应情况进行打分，全部满足招标要求得12分。</w:t>
            </w:r>
          </w:p>
          <w:p w14:paraId="7F387AE1">
            <w:pPr>
              <w:numPr>
                <w:ilvl w:val="0"/>
                <w:numId w:val="16"/>
              </w:numPr>
              <w:rPr>
                <w:rFonts w:ascii="宋体" w:hAnsi="宋体" w:cs="宋体"/>
                <w:szCs w:val="24"/>
              </w:rPr>
            </w:pPr>
            <w:r>
              <w:rPr>
                <w:rFonts w:hint="eastAsia" w:ascii="宋体" w:hAnsi="宋体" w:cs="宋体"/>
                <w:szCs w:val="24"/>
              </w:rPr>
              <w:t>带“＊”指标，每有一条不满足扣2分；</w:t>
            </w:r>
          </w:p>
          <w:p w14:paraId="66D03746">
            <w:pPr>
              <w:numPr>
                <w:ilvl w:val="0"/>
                <w:numId w:val="16"/>
              </w:numPr>
              <w:rPr>
                <w:rFonts w:ascii="宋体" w:hAnsi="宋体" w:cs="宋体"/>
                <w:szCs w:val="24"/>
              </w:rPr>
            </w:pPr>
            <w:r>
              <w:rPr>
                <w:rFonts w:hint="eastAsia" w:ascii="宋体" w:hAnsi="宋体" w:cs="宋体"/>
                <w:szCs w:val="24"/>
              </w:rPr>
              <w:t>一般指标，每有一条不满足扣1分。</w:t>
            </w:r>
          </w:p>
          <w:p w14:paraId="73EA20FF">
            <w:pPr>
              <w:rPr>
                <w:rFonts w:ascii="宋体" w:hAnsi="宋体" w:cs="宋体"/>
                <w:szCs w:val="24"/>
              </w:rPr>
            </w:pPr>
            <w:r>
              <w:rPr>
                <w:rFonts w:hint="eastAsia" w:ascii="宋体" w:hAnsi="宋体" w:cs="宋体"/>
                <w:szCs w:val="24"/>
              </w:rPr>
              <w:t>最低得0分。</w:t>
            </w:r>
          </w:p>
        </w:tc>
        <w:tc>
          <w:tcPr>
            <w:tcW w:w="844" w:type="dxa"/>
            <w:vAlign w:val="center"/>
          </w:tcPr>
          <w:p w14:paraId="28A902B0">
            <w:pPr>
              <w:jc w:val="center"/>
              <w:rPr>
                <w:rFonts w:ascii="宋体" w:hAnsi="宋体" w:cs="宋体"/>
                <w:szCs w:val="24"/>
              </w:rPr>
            </w:pPr>
            <w:r>
              <w:rPr>
                <w:rFonts w:hint="eastAsia" w:ascii="宋体" w:hAnsi="宋体" w:cs="宋体"/>
                <w:szCs w:val="24"/>
              </w:rPr>
              <w:t>12</w:t>
            </w:r>
          </w:p>
        </w:tc>
      </w:tr>
      <w:tr w14:paraId="29445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vAlign w:val="center"/>
          </w:tcPr>
          <w:p w14:paraId="6A381B77">
            <w:pPr>
              <w:jc w:val="center"/>
              <w:rPr>
                <w:rFonts w:ascii="宋体" w:hAnsi="宋体" w:cs="宋体"/>
                <w:szCs w:val="24"/>
              </w:rPr>
            </w:pPr>
            <w:r>
              <w:rPr>
                <w:rFonts w:hint="eastAsia" w:ascii="宋体" w:hAnsi="宋体" w:cs="宋体"/>
                <w:szCs w:val="24"/>
              </w:rPr>
              <w:t>2</w:t>
            </w:r>
          </w:p>
        </w:tc>
        <w:tc>
          <w:tcPr>
            <w:tcW w:w="1280" w:type="dxa"/>
            <w:vAlign w:val="center"/>
          </w:tcPr>
          <w:p w14:paraId="72E44844">
            <w:pPr>
              <w:jc w:val="center"/>
              <w:rPr>
                <w:rFonts w:ascii="宋体" w:hAnsi="宋体" w:cs="宋体"/>
                <w:szCs w:val="24"/>
              </w:rPr>
            </w:pPr>
            <w:r>
              <w:rPr>
                <w:rFonts w:hint="eastAsia" w:ascii="宋体" w:hAnsi="宋体"/>
                <w:bCs/>
                <w:szCs w:val="28"/>
              </w:rPr>
              <w:t>车辆配置评审</w:t>
            </w:r>
          </w:p>
        </w:tc>
        <w:tc>
          <w:tcPr>
            <w:tcW w:w="6385" w:type="dxa"/>
            <w:vAlign w:val="center"/>
          </w:tcPr>
          <w:p w14:paraId="69A98E15">
            <w:pPr>
              <w:rPr>
                <w:rFonts w:ascii="宋体" w:hAnsi="宋体"/>
                <w:szCs w:val="24"/>
              </w:rPr>
            </w:pPr>
            <w:r>
              <w:rPr>
                <w:rFonts w:hint="eastAsia" w:ascii="宋体" w:hAnsi="宋体"/>
                <w:szCs w:val="24"/>
              </w:rPr>
              <w:t>对投标人所提供车辆选型配置、性能、各功能区介绍等进行综合评审，投标人应提供详细配置清单、性能参数及车辆功能详细说明等作为证明材料：</w:t>
            </w:r>
          </w:p>
          <w:p w14:paraId="271307D9">
            <w:pPr>
              <w:rPr>
                <w:rFonts w:ascii="宋体" w:hAnsi="宋体"/>
                <w:szCs w:val="24"/>
              </w:rPr>
            </w:pPr>
            <w:r>
              <w:rPr>
                <w:rFonts w:hint="eastAsia" w:ascii="宋体" w:hAnsi="宋体"/>
                <w:szCs w:val="24"/>
              </w:rPr>
              <w:t>产品配置全面，整体性能和配置完善，性能先进，功能区完整，完全满足采购需求的，得12-15分；</w:t>
            </w:r>
          </w:p>
          <w:p w14:paraId="64D56385">
            <w:pPr>
              <w:rPr>
                <w:rFonts w:ascii="宋体" w:hAnsi="宋体"/>
                <w:szCs w:val="24"/>
              </w:rPr>
            </w:pPr>
            <w:r>
              <w:rPr>
                <w:rFonts w:hint="eastAsia" w:ascii="宋体" w:hAnsi="宋体"/>
                <w:szCs w:val="24"/>
              </w:rPr>
              <w:t>产品配置全面，产品整体性能与配置合理，性能较为先进，基本满足采购需求的，得8-11分；</w:t>
            </w:r>
          </w:p>
          <w:p w14:paraId="7F724D05">
            <w:pPr>
              <w:rPr>
                <w:rFonts w:ascii="宋体" w:hAnsi="宋体"/>
                <w:szCs w:val="24"/>
              </w:rPr>
            </w:pPr>
            <w:r>
              <w:rPr>
                <w:rFonts w:hint="eastAsia" w:ascii="宋体" w:hAnsi="宋体"/>
                <w:szCs w:val="24"/>
              </w:rPr>
              <w:t>产品配置全面，产品整体性能与配置一般，存在部分缺陷，部分满足采购需求，得3-7分；</w:t>
            </w:r>
          </w:p>
          <w:p w14:paraId="433434AA">
            <w:pPr>
              <w:rPr>
                <w:rFonts w:ascii="宋体" w:hAnsi="宋体"/>
                <w:szCs w:val="24"/>
              </w:rPr>
            </w:pPr>
            <w:r>
              <w:rPr>
                <w:rFonts w:hint="eastAsia" w:ascii="宋体" w:hAnsi="宋体"/>
                <w:szCs w:val="24"/>
              </w:rPr>
              <w:t>配置无法满足招标文件要求，不满足采购需求，或证明材料不完整得1-2分；</w:t>
            </w:r>
          </w:p>
          <w:p w14:paraId="212ECB4E">
            <w:pPr>
              <w:rPr>
                <w:rFonts w:ascii="宋体" w:hAnsi="宋体"/>
                <w:szCs w:val="24"/>
              </w:rPr>
            </w:pPr>
            <w:r>
              <w:rPr>
                <w:rFonts w:hint="eastAsia" w:ascii="宋体" w:hAnsi="宋体"/>
                <w:szCs w:val="24"/>
              </w:rPr>
              <w:t>未提供说明得0分。</w:t>
            </w:r>
          </w:p>
          <w:p w14:paraId="625B3170">
            <w:pPr>
              <w:pStyle w:val="191"/>
              <w:spacing w:before="0" w:after="0"/>
              <w:rPr>
                <w:rFonts w:ascii="宋体" w:hAnsi="宋体" w:cs="宋体"/>
                <w:spacing w:val="5"/>
                <w:szCs w:val="24"/>
              </w:rPr>
            </w:pPr>
          </w:p>
        </w:tc>
        <w:tc>
          <w:tcPr>
            <w:tcW w:w="844" w:type="dxa"/>
            <w:vAlign w:val="center"/>
          </w:tcPr>
          <w:p w14:paraId="35E6CD2F">
            <w:pPr>
              <w:jc w:val="center"/>
              <w:rPr>
                <w:rFonts w:ascii="宋体" w:hAnsi="宋体" w:cs="宋体"/>
                <w:szCs w:val="24"/>
              </w:rPr>
            </w:pPr>
            <w:r>
              <w:rPr>
                <w:rFonts w:hint="eastAsia" w:ascii="宋体" w:hAnsi="宋体" w:cs="宋体"/>
                <w:szCs w:val="24"/>
              </w:rPr>
              <w:t>15</w:t>
            </w:r>
          </w:p>
        </w:tc>
      </w:tr>
      <w:tr w14:paraId="3E236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vAlign w:val="center"/>
          </w:tcPr>
          <w:p w14:paraId="03BEA0D3">
            <w:pPr>
              <w:jc w:val="center"/>
              <w:rPr>
                <w:rFonts w:ascii="宋体" w:hAnsi="宋体" w:cs="宋体"/>
                <w:szCs w:val="24"/>
              </w:rPr>
            </w:pPr>
            <w:r>
              <w:rPr>
                <w:rFonts w:hint="eastAsia" w:ascii="宋体" w:hAnsi="宋体" w:cs="宋体"/>
                <w:szCs w:val="24"/>
              </w:rPr>
              <w:t>3</w:t>
            </w:r>
          </w:p>
        </w:tc>
        <w:tc>
          <w:tcPr>
            <w:tcW w:w="1280" w:type="dxa"/>
            <w:vAlign w:val="center"/>
          </w:tcPr>
          <w:p w14:paraId="7E377CB1">
            <w:pPr>
              <w:jc w:val="center"/>
              <w:rPr>
                <w:rFonts w:ascii="宋体" w:hAnsi="宋体" w:cs="宋体"/>
                <w:szCs w:val="24"/>
              </w:rPr>
            </w:pPr>
            <w:r>
              <w:rPr>
                <w:rFonts w:hint="eastAsia" w:ascii="宋体" w:hAnsi="宋体"/>
                <w:bCs/>
                <w:szCs w:val="28"/>
              </w:rPr>
              <w:t>质量保证措施及违约承诺</w:t>
            </w:r>
          </w:p>
        </w:tc>
        <w:tc>
          <w:tcPr>
            <w:tcW w:w="6385" w:type="dxa"/>
            <w:vAlign w:val="center"/>
          </w:tcPr>
          <w:p w14:paraId="6495F4B9">
            <w:pPr>
              <w:rPr>
                <w:rFonts w:ascii="宋体" w:hAnsi="宋体"/>
                <w:szCs w:val="24"/>
              </w:rPr>
            </w:pPr>
            <w:r>
              <w:rPr>
                <w:rFonts w:hint="eastAsia" w:ascii="宋体" w:hAnsi="宋体"/>
                <w:szCs w:val="24"/>
              </w:rPr>
              <w:t>评标委员会根据投标人的</w:t>
            </w:r>
            <w:r>
              <w:rPr>
                <w:rFonts w:hint="eastAsia" w:ascii="宋体" w:hAnsi="宋体"/>
                <w:bCs/>
                <w:szCs w:val="28"/>
              </w:rPr>
              <w:t>质量保证措施及违约承诺进行综合评审：</w:t>
            </w:r>
          </w:p>
          <w:p w14:paraId="28AB812A">
            <w:pPr>
              <w:widowControl/>
              <w:spacing w:line="276" w:lineRule="auto"/>
              <w:jc w:val="left"/>
              <w:rPr>
                <w:rFonts w:ascii="宋体" w:hAnsi="宋体" w:cs="宋体"/>
                <w:kern w:val="0"/>
                <w:sz w:val="24"/>
                <w:szCs w:val="24"/>
              </w:rPr>
            </w:pPr>
            <w:r>
              <w:rPr>
                <w:rFonts w:hint="eastAsia" w:ascii="宋体" w:hAnsi="宋体" w:cs="宋体"/>
                <w:kern w:val="0"/>
                <w:sz w:val="24"/>
                <w:szCs w:val="24"/>
              </w:rPr>
              <w:t>1）售后服务方案全面、清晰明确，配件准备充分、提供及时，响应速度和解决时间优于招标文件要求，提供的技术支持和维修服务专业度高，应急保障措施针对性、可实施性强，针对本项目提供的售后服务承诺内容、售后服务方式、投标人的售后服务能力完全契合采购人实际需求，有具体的违约责任，得8分；</w:t>
            </w:r>
          </w:p>
          <w:p w14:paraId="15D863BF">
            <w:pPr>
              <w:widowControl/>
              <w:spacing w:line="276" w:lineRule="auto"/>
              <w:jc w:val="left"/>
              <w:rPr>
                <w:rFonts w:ascii="宋体" w:hAnsi="宋体" w:cs="宋体"/>
                <w:kern w:val="0"/>
                <w:sz w:val="24"/>
                <w:szCs w:val="24"/>
              </w:rPr>
            </w:pPr>
            <w:r>
              <w:rPr>
                <w:rFonts w:hint="eastAsia" w:ascii="宋体" w:hAnsi="宋体" w:cs="宋体"/>
                <w:kern w:val="0"/>
                <w:sz w:val="24"/>
                <w:szCs w:val="24"/>
              </w:rPr>
              <w:t xml:space="preserve">（2）售后服务保证措施方案内容的全面性、合理性和针对性及可行性等存在不足，有完善空间，但能满足采购人基本需求，有违约责任得4-7分； </w:t>
            </w:r>
          </w:p>
          <w:p w14:paraId="66304776">
            <w:pPr>
              <w:widowControl/>
              <w:spacing w:line="276" w:lineRule="auto"/>
              <w:jc w:val="left"/>
              <w:rPr>
                <w:rFonts w:ascii="宋体" w:hAnsi="宋体" w:cs="宋体"/>
                <w:kern w:val="0"/>
                <w:sz w:val="24"/>
                <w:szCs w:val="24"/>
              </w:rPr>
            </w:pPr>
            <w:r>
              <w:rPr>
                <w:rFonts w:hint="eastAsia" w:ascii="宋体" w:hAnsi="宋体" w:cs="宋体"/>
                <w:kern w:val="0"/>
                <w:sz w:val="24"/>
                <w:szCs w:val="24"/>
              </w:rPr>
              <w:t>（3）售后服务保证措施方案存在技术性缺陷，仅有少部分内容能满足采购人实际需求，违约责任表述不清晰得1-3分；</w:t>
            </w:r>
          </w:p>
          <w:p w14:paraId="1A0205AD">
            <w:pPr>
              <w:rPr>
                <w:rFonts w:ascii="宋体" w:hAnsi="宋体" w:cs="宋体"/>
                <w:szCs w:val="24"/>
              </w:rPr>
            </w:pPr>
            <w:r>
              <w:rPr>
                <w:rFonts w:hint="eastAsia" w:ascii="宋体" w:hAnsi="宋体" w:cs="宋体"/>
                <w:kern w:val="0"/>
                <w:sz w:val="24"/>
                <w:szCs w:val="24"/>
              </w:rPr>
              <w:t>（4）内容基本不存在合理性或者针对性或者完全不满足采购人实际需求，得0分。</w:t>
            </w:r>
          </w:p>
        </w:tc>
        <w:tc>
          <w:tcPr>
            <w:tcW w:w="844" w:type="dxa"/>
            <w:vAlign w:val="center"/>
          </w:tcPr>
          <w:p w14:paraId="5C3D1C02">
            <w:pPr>
              <w:jc w:val="center"/>
              <w:rPr>
                <w:rFonts w:ascii="宋体" w:hAnsi="宋体" w:cs="宋体"/>
                <w:szCs w:val="24"/>
              </w:rPr>
            </w:pPr>
            <w:r>
              <w:rPr>
                <w:rFonts w:hint="eastAsia" w:ascii="宋体" w:hAnsi="宋体" w:cs="宋体"/>
                <w:szCs w:val="24"/>
              </w:rPr>
              <w:t>10</w:t>
            </w:r>
          </w:p>
        </w:tc>
      </w:tr>
      <w:tr w14:paraId="62712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vAlign w:val="center"/>
          </w:tcPr>
          <w:p w14:paraId="35011E2D">
            <w:pPr>
              <w:jc w:val="center"/>
              <w:rPr>
                <w:rFonts w:ascii="宋体" w:hAnsi="宋体" w:cs="宋体"/>
                <w:szCs w:val="24"/>
              </w:rPr>
            </w:pPr>
            <w:r>
              <w:rPr>
                <w:rFonts w:hint="eastAsia" w:ascii="宋体" w:hAnsi="宋体" w:cs="宋体"/>
                <w:szCs w:val="24"/>
              </w:rPr>
              <w:t>4</w:t>
            </w:r>
          </w:p>
        </w:tc>
        <w:tc>
          <w:tcPr>
            <w:tcW w:w="1280" w:type="dxa"/>
            <w:vAlign w:val="center"/>
          </w:tcPr>
          <w:p w14:paraId="72B502C3">
            <w:pPr>
              <w:jc w:val="center"/>
              <w:rPr>
                <w:rFonts w:ascii="宋体" w:hAnsi="宋体" w:cs="宋体"/>
                <w:szCs w:val="24"/>
              </w:rPr>
            </w:pPr>
            <w:r>
              <w:rPr>
                <w:rFonts w:hint="eastAsia" w:ascii="宋体" w:hAnsi="宋体"/>
                <w:bCs/>
                <w:szCs w:val="28"/>
              </w:rPr>
              <w:t>售后服务保障</w:t>
            </w:r>
          </w:p>
        </w:tc>
        <w:tc>
          <w:tcPr>
            <w:tcW w:w="6385" w:type="dxa"/>
            <w:vAlign w:val="center"/>
          </w:tcPr>
          <w:p w14:paraId="008A2630">
            <w:pPr>
              <w:pStyle w:val="191"/>
              <w:spacing w:before="0" w:after="0"/>
              <w:rPr>
                <w:rFonts w:ascii="宋体" w:hAnsi="宋体" w:cs="宋体"/>
                <w:szCs w:val="24"/>
              </w:rPr>
            </w:pPr>
            <w:r>
              <w:rPr>
                <w:rFonts w:hint="eastAsia" w:ascii="宋体" w:hAnsi="宋体" w:cs="宋体"/>
                <w:szCs w:val="24"/>
              </w:rPr>
              <w:t>（1）国内特约维修站数量（满分2分）</w:t>
            </w:r>
          </w:p>
          <w:p w14:paraId="239C19EC">
            <w:pPr>
              <w:pStyle w:val="191"/>
              <w:spacing w:before="0" w:after="0"/>
              <w:rPr>
                <w:rFonts w:ascii="宋体" w:hAnsi="宋体" w:cs="宋体"/>
                <w:szCs w:val="24"/>
              </w:rPr>
            </w:pPr>
            <w:r>
              <w:rPr>
                <w:rFonts w:hint="eastAsia" w:ascii="宋体" w:hAnsi="宋体" w:cs="宋体"/>
                <w:szCs w:val="24"/>
              </w:rPr>
              <w:t>排名第一的得满分，其余依次递减0.5分，最低得0分.</w:t>
            </w:r>
          </w:p>
          <w:p w14:paraId="5BBC06F9">
            <w:pPr>
              <w:pStyle w:val="191"/>
              <w:spacing w:before="0" w:after="0"/>
              <w:rPr>
                <w:rFonts w:ascii="宋体" w:hAnsi="宋体" w:cs="宋体"/>
                <w:szCs w:val="24"/>
              </w:rPr>
            </w:pPr>
            <w:r>
              <w:rPr>
                <w:rFonts w:hint="eastAsia" w:ascii="宋体" w:hAnsi="宋体" w:cs="宋体"/>
                <w:szCs w:val="24"/>
              </w:rPr>
              <w:t>（2）售后服务体系星级认证（满分3分）</w:t>
            </w:r>
          </w:p>
          <w:p w14:paraId="7999568F">
            <w:pPr>
              <w:pStyle w:val="191"/>
              <w:spacing w:before="0" w:after="0"/>
              <w:rPr>
                <w:rFonts w:ascii="宋体" w:hAnsi="宋体" w:cs="宋体"/>
                <w:szCs w:val="24"/>
              </w:rPr>
            </w:pPr>
            <w:r>
              <w:rPr>
                <w:rFonts w:hint="eastAsia" w:ascii="宋体" w:hAnsi="宋体" w:cs="宋体"/>
                <w:szCs w:val="24"/>
              </w:rPr>
              <w:t>投标人所投品牌生产制造商具有完善的售后服务体系，达到售后服务体系认证七星级得3分，五星级2分，四星级得1分，四星以下不得分。（需提供有效证明材料复印件，未提供不得分）。</w:t>
            </w:r>
          </w:p>
        </w:tc>
        <w:tc>
          <w:tcPr>
            <w:tcW w:w="844" w:type="dxa"/>
            <w:vAlign w:val="center"/>
          </w:tcPr>
          <w:p w14:paraId="4BFB2526">
            <w:pPr>
              <w:jc w:val="center"/>
              <w:rPr>
                <w:rFonts w:ascii="宋体" w:hAnsi="宋体" w:cs="宋体"/>
                <w:szCs w:val="24"/>
              </w:rPr>
            </w:pPr>
            <w:r>
              <w:rPr>
                <w:rFonts w:hint="eastAsia" w:ascii="宋体" w:hAnsi="宋体" w:cs="宋体"/>
                <w:szCs w:val="24"/>
              </w:rPr>
              <w:t>5</w:t>
            </w:r>
          </w:p>
        </w:tc>
      </w:tr>
      <w:tr w14:paraId="3B9BD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vAlign w:val="center"/>
          </w:tcPr>
          <w:p w14:paraId="3868A85A">
            <w:pPr>
              <w:jc w:val="center"/>
              <w:rPr>
                <w:rFonts w:ascii="宋体" w:hAnsi="宋体" w:cs="宋体"/>
                <w:szCs w:val="24"/>
              </w:rPr>
            </w:pPr>
            <w:r>
              <w:rPr>
                <w:rFonts w:hint="eastAsia" w:ascii="宋体" w:hAnsi="宋体" w:cs="宋体"/>
                <w:szCs w:val="24"/>
              </w:rPr>
              <w:t>5</w:t>
            </w:r>
          </w:p>
        </w:tc>
        <w:tc>
          <w:tcPr>
            <w:tcW w:w="1280" w:type="dxa"/>
            <w:vAlign w:val="center"/>
          </w:tcPr>
          <w:p w14:paraId="6E7277AC">
            <w:pPr>
              <w:jc w:val="center"/>
              <w:rPr>
                <w:rFonts w:ascii="宋体" w:hAnsi="宋体" w:cs="宋体"/>
                <w:szCs w:val="24"/>
              </w:rPr>
            </w:pPr>
            <w:r>
              <w:rPr>
                <w:rFonts w:hint="eastAsia" w:ascii="宋体" w:hAnsi="宋体"/>
                <w:szCs w:val="24"/>
              </w:rPr>
              <w:t>拟投车辆防漏水、腐锈承诺</w:t>
            </w:r>
          </w:p>
        </w:tc>
        <w:tc>
          <w:tcPr>
            <w:tcW w:w="6385" w:type="dxa"/>
            <w:vAlign w:val="center"/>
          </w:tcPr>
          <w:p w14:paraId="044E2310">
            <w:pPr>
              <w:pStyle w:val="191"/>
              <w:spacing w:before="0" w:after="0"/>
              <w:rPr>
                <w:rFonts w:ascii="宋体" w:hAnsi="宋体" w:cs="宋体"/>
                <w:spacing w:val="6"/>
                <w:szCs w:val="24"/>
              </w:rPr>
            </w:pPr>
            <w:r>
              <w:rPr>
                <w:rFonts w:hint="eastAsia" w:ascii="宋体" w:hAnsi="宋体" w:cs="宋体"/>
                <w:spacing w:val="6"/>
                <w:szCs w:val="24"/>
              </w:rPr>
              <w:t>评标委员会根据投标人对拟投车辆防漏水和腐锈方面的承诺进行综合评审。</w:t>
            </w:r>
          </w:p>
          <w:p w14:paraId="32BDDCAB">
            <w:pPr>
              <w:pStyle w:val="191"/>
              <w:spacing w:before="0" w:after="0"/>
              <w:rPr>
                <w:rFonts w:ascii="宋体" w:hAnsi="宋体" w:cs="宋体"/>
                <w:spacing w:val="6"/>
                <w:szCs w:val="24"/>
              </w:rPr>
            </w:pPr>
            <w:r>
              <w:rPr>
                <w:rFonts w:hint="eastAsia" w:ascii="宋体" w:hAnsi="宋体" w:cs="宋体"/>
                <w:spacing w:val="6"/>
                <w:szCs w:val="24"/>
              </w:rPr>
              <w:t>第一档次（3分）：承诺对招标人非常有利、总体较优；</w:t>
            </w:r>
          </w:p>
          <w:p w14:paraId="543B83D1">
            <w:pPr>
              <w:pStyle w:val="191"/>
              <w:spacing w:before="0" w:after="0"/>
              <w:rPr>
                <w:rFonts w:ascii="宋体" w:hAnsi="宋体" w:cs="宋体"/>
                <w:spacing w:val="6"/>
                <w:szCs w:val="24"/>
              </w:rPr>
            </w:pPr>
            <w:r>
              <w:rPr>
                <w:rFonts w:hint="eastAsia" w:ascii="宋体" w:hAnsi="宋体" w:cs="宋体"/>
                <w:spacing w:val="6"/>
                <w:szCs w:val="24"/>
              </w:rPr>
              <w:t>第二档次（2分）：承诺对招标人相对有利；</w:t>
            </w:r>
          </w:p>
          <w:p w14:paraId="205E214E">
            <w:pPr>
              <w:pStyle w:val="191"/>
              <w:spacing w:before="0" w:after="0"/>
              <w:rPr>
                <w:rFonts w:ascii="宋体" w:hAnsi="宋体" w:cs="宋体"/>
                <w:spacing w:val="6"/>
                <w:szCs w:val="24"/>
              </w:rPr>
            </w:pPr>
            <w:r>
              <w:rPr>
                <w:rFonts w:hint="eastAsia" w:ascii="宋体" w:hAnsi="宋体" w:cs="宋体"/>
                <w:spacing w:val="6"/>
                <w:szCs w:val="24"/>
              </w:rPr>
              <w:t>第三档次（1分）：承诺对招标人优势相对一般。</w:t>
            </w:r>
          </w:p>
        </w:tc>
        <w:tc>
          <w:tcPr>
            <w:tcW w:w="844" w:type="dxa"/>
            <w:vAlign w:val="center"/>
          </w:tcPr>
          <w:p w14:paraId="11158CD8">
            <w:pPr>
              <w:jc w:val="center"/>
              <w:rPr>
                <w:rFonts w:ascii="宋体" w:hAnsi="宋体" w:cs="宋体"/>
                <w:szCs w:val="24"/>
              </w:rPr>
            </w:pPr>
            <w:r>
              <w:rPr>
                <w:rFonts w:hint="eastAsia" w:ascii="宋体" w:hAnsi="宋体" w:cs="宋体"/>
                <w:szCs w:val="24"/>
              </w:rPr>
              <w:t>3</w:t>
            </w:r>
          </w:p>
        </w:tc>
      </w:tr>
      <w:tr w14:paraId="04261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9212" w:type="dxa"/>
            <w:gridSpan w:val="4"/>
            <w:vAlign w:val="center"/>
          </w:tcPr>
          <w:p w14:paraId="1F62C6AA">
            <w:pPr>
              <w:jc w:val="center"/>
              <w:rPr>
                <w:rFonts w:ascii="宋体" w:hAnsi="宋体" w:cs="宋体"/>
                <w:b/>
                <w:szCs w:val="24"/>
              </w:rPr>
            </w:pPr>
            <w:r>
              <w:rPr>
                <w:rFonts w:hint="eastAsia" w:ascii="宋体" w:hAnsi="宋体" w:cs="宋体"/>
                <w:b/>
                <w:szCs w:val="24"/>
              </w:rPr>
              <w:t>三、价格部分（30分）</w:t>
            </w:r>
          </w:p>
        </w:tc>
      </w:tr>
      <w:tr w14:paraId="74D51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703" w:type="dxa"/>
            <w:tcBorders>
              <w:right w:val="single" w:color="auto" w:sz="4" w:space="0"/>
            </w:tcBorders>
            <w:vAlign w:val="center"/>
          </w:tcPr>
          <w:p w14:paraId="0D91C95E">
            <w:pPr>
              <w:jc w:val="center"/>
              <w:rPr>
                <w:rFonts w:ascii="宋体" w:hAnsi="宋体" w:cs="宋体"/>
                <w:bCs/>
                <w:szCs w:val="24"/>
              </w:rPr>
            </w:pPr>
            <w:r>
              <w:rPr>
                <w:rFonts w:hint="eastAsia" w:ascii="宋体" w:hAnsi="宋体" w:cs="宋体"/>
                <w:bCs/>
                <w:szCs w:val="24"/>
              </w:rPr>
              <w:t>1</w:t>
            </w:r>
          </w:p>
        </w:tc>
        <w:tc>
          <w:tcPr>
            <w:tcW w:w="1280" w:type="dxa"/>
            <w:tcBorders>
              <w:right w:val="single" w:color="auto" w:sz="4" w:space="0"/>
            </w:tcBorders>
            <w:vAlign w:val="center"/>
          </w:tcPr>
          <w:p w14:paraId="05949299">
            <w:pPr>
              <w:pStyle w:val="31"/>
              <w:jc w:val="center"/>
              <w:rPr>
                <w:rFonts w:ascii="宋体" w:hAnsi="宋体" w:cs="宋体"/>
                <w:b w:val="0"/>
                <w:szCs w:val="24"/>
              </w:rPr>
            </w:pPr>
            <w:r>
              <w:rPr>
                <w:rFonts w:hint="eastAsia" w:ascii="宋体" w:hAnsi="宋体" w:cs="宋体"/>
                <w:b w:val="0"/>
                <w:szCs w:val="24"/>
              </w:rPr>
              <w:t>价格评审</w:t>
            </w:r>
          </w:p>
        </w:tc>
        <w:tc>
          <w:tcPr>
            <w:tcW w:w="6385" w:type="dxa"/>
            <w:tcBorders>
              <w:left w:val="single" w:color="auto" w:sz="4" w:space="0"/>
            </w:tcBorders>
            <w:vAlign w:val="center"/>
          </w:tcPr>
          <w:p w14:paraId="0D0CFE67">
            <w:pPr>
              <w:rPr>
                <w:rFonts w:ascii="宋体" w:hAnsi="宋体" w:cs="宋体"/>
                <w:szCs w:val="24"/>
              </w:rPr>
            </w:pPr>
            <w:r>
              <w:rPr>
                <w:rFonts w:hint="eastAsia" w:ascii="宋体" w:hAnsi="宋体" w:cs="宋体"/>
                <w:szCs w:val="24"/>
              </w:rPr>
              <w:t>以满足实质性要求所有投标供应商有效报价的算术平均值为评审基准价。</w:t>
            </w:r>
          </w:p>
          <w:p w14:paraId="356AAE07">
            <w:pPr>
              <w:rPr>
                <w:rFonts w:ascii="宋体" w:hAnsi="宋体" w:cs="宋体"/>
                <w:szCs w:val="24"/>
              </w:rPr>
            </w:pPr>
            <w:r>
              <w:rPr>
                <w:rFonts w:hint="eastAsia" w:ascii="宋体" w:hAnsi="宋体" w:cs="宋体"/>
                <w:szCs w:val="24"/>
              </w:rPr>
              <w:t>当投标人报价低于或等于评审基准价时，价格得分=（1-∣投标人报价-评审基准价∣/评审基准价）×30；</w:t>
            </w:r>
          </w:p>
          <w:p w14:paraId="27DF86EB">
            <w:pPr>
              <w:rPr>
                <w:rFonts w:ascii="宋体" w:hAnsi="宋体" w:cs="宋体"/>
                <w:szCs w:val="24"/>
              </w:rPr>
            </w:pPr>
            <w:r>
              <w:rPr>
                <w:rFonts w:hint="eastAsia" w:ascii="宋体" w:hAnsi="宋体" w:cs="宋体"/>
                <w:szCs w:val="24"/>
              </w:rPr>
              <w:t>当投标人报价高于评审基准价时，价格得分=（1-∣投标人报价-评审基准价∣/评审基准价）×0.95×30。该分值保留小数点后两位，此项最高得30分。</w:t>
            </w:r>
          </w:p>
        </w:tc>
        <w:tc>
          <w:tcPr>
            <w:tcW w:w="844" w:type="dxa"/>
            <w:tcBorders>
              <w:left w:val="single" w:color="auto" w:sz="4" w:space="0"/>
            </w:tcBorders>
            <w:vAlign w:val="center"/>
          </w:tcPr>
          <w:p w14:paraId="3F773E64">
            <w:pPr>
              <w:jc w:val="center"/>
              <w:rPr>
                <w:rFonts w:ascii="宋体" w:hAnsi="宋体" w:cs="宋体"/>
                <w:szCs w:val="24"/>
              </w:rPr>
            </w:pPr>
            <w:r>
              <w:rPr>
                <w:rFonts w:hint="eastAsia" w:ascii="宋体" w:hAnsi="宋体" w:cs="宋体"/>
                <w:szCs w:val="24"/>
              </w:rPr>
              <w:t>30</w:t>
            </w:r>
          </w:p>
        </w:tc>
      </w:tr>
    </w:tbl>
    <w:p w14:paraId="586B8D47">
      <w:pPr>
        <w:pStyle w:val="22"/>
        <w:spacing w:line="360" w:lineRule="auto"/>
        <w:rPr>
          <w:color w:val="000000"/>
        </w:rPr>
      </w:pPr>
    </w:p>
    <w:sectPr>
      <w:pgSz w:w="11906" w:h="16838"/>
      <w:pgMar w:top="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KJFCLG+TimesNewRoman">
    <w:altName w:val="宋体"/>
    <w:panose1 w:val="00000000000000000000"/>
    <w:charset w:val="86"/>
    <w:family w:val="roma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033CF">
    <w:pPr>
      <w:pStyle w:val="27"/>
      <w:framePr w:wrap="around" w:vAnchor="text" w:hAnchor="page" w:x="8034" w:y="171"/>
      <w:ind w:right="360"/>
      <w:jc w:val="right"/>
      <w:rPr>
        <w:rStyle w:val="46"/>
      </w:rPr>
    </w:pPr>
  </w:p>
  <w:p w14:paraId="69A067AF">
    <w:pPr>
      <w:pStyle w:val="27"/>
      <w:jc w:val="right"/>
    </w:pPr>
    <w:r>
      <w:fldChar w:fldCharType="begin"/>
    </w:r>
    <w:r>
      <w:rPr>
        <w:rStyle w:val="46"/>
      </w:rPr>
      <w:instrText xml:space="preserve"> PAGE </w:instrText>
    </w:r>
    <w:r>
      <w:fldChar w:fldCharType="separate"/>
    </w:r>
    <w:r>
      <w:rPr>
        <w:rStyle w:val="46"/>
      </w:rP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16E4A">
    <w:pPr>
      <w:pStyle w:val="27"/>
      <w:framePr w:wrap="around" w:vAnchor="text" w:hAnchor="margin" w:xAlign="right" w:y="1"/>
      <w:rPr>
        <w:rStyle w:val="46"/>
      </w:rPr>
    </w:pPr>
    <w:r>
      <w:fldChar w:fldCharType="begin"/>
    </w:r>
    <w:r>
      <w:rPr>
        <w:rStyle w:val="46"/>
      </w:rPr>
      <w:instrText xml:space="preserve">PAGE  </w:instrText>
    </w:r>
    <w:r>
      <w:fldChar w:fldCharType="end"/>
    </w:r>
  </w:p>
  <w:p w14:paraId="3B3109B7">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D2651">
    <w:pPr>
      <w:pStyle w:val="2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82522">
    <w:pPr>
      <w:pStyle w:val="27"/>
      <w:framePr w:wrap="around" w:vAnchor="text" w:hAnchor="page" w:x="8034" w:y="171"/>
      <w:ind w:right="360"/>
      <w:jc w:val="right"/>
      <w:rPr>
        <w:rStyle w:val="46"/>
      </w:rPr>
    </w:pPr>
  </w:p>
  <w:p w14:paraId="0F6543F3">
    <w:pPr>
      <w:pStyle w:val="27"/>
      <w:jc w:val="center"/>
    </w:pPr>
    <w:r>
      <w:fldChar w:fldCharType="begin"/>
    </w:r>
    <w:r>
      <w:rPr>
        <w:rStyle w:val="46"/>
      </w:rPr>
      <w:instrText xml:space="preserve"> PAGE </w:instrText>
    </w:r>
    <w:r>
      <w:fldChar w:fldCharType="separate"/>
    </w:r>
    <w:r>
      <w:rPr>
        <w:rStyle w:val="46"/>
      </w:rPr>
      <w:t>31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9F861">
    <w:pPr>
      <w:pStyle w:val="28"/>
      <w:jc w:val="left"/>
      <w:rPr>
        <w:rFonts w:ascii="宋体"/>
      </w:rPr>
    </w:pPr>
    <w:r>
      <w:rPr>
        <w:rFonts w:hint="eastAsia" w:ascii="宋体"/>
      </w:rPr>
      <w:t xml:space="preserve">北京明德致信咨询有限公司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61A45"/>
    <w:multiLevelType w:val="singleLevel"/>
    <w:tmpl w:val="9BD61A45"/>
    <w:lvl w:ilvl="0" w:tentative="0">
      <w:start w:val="1"/>
      <w:numFmt w:val="decimal"/>
      <w:suff w:val="nothing"/>
      <w:lvlText w:val="（%1）"/>
      <w:lvlJc w:val="left"/>
    </w:lvl>
  </w:abstractNum>
  <w:abstractNum w:abstractNumId="1">
    <w:nsid w:val="09DB3638"/>
    <w:multiLevelType w:val="multilevel"/>
    <w:tmpl w:val="09DB3638"/>
    <w:lvl w:ilvl="0" w:tentative="0">
      <w:start w:val="1"/>
      <w:numFmt w:val="decimal"/>
      <w:lvlText w:val="%1)"/>
      <w:lvlJc w:val="left"/>
      <w:pPr>
        <w:tabs>
          <w:tab w:val="left" w:pos="990"/>
        </w:tabs>
        <w:ind w:left="990" w:hanging="360"/>
      </w:pPr>
      <w:rPr>
        <w:rFonts w:hint="eastAsia"/>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2">
    <w:nsid w:val="0BE857BB"/>
    <w:multiLevelType w:val="singleLevel"/>
    <w:tmpl w:val="0BE857BB"/>
    <w:lvl w:ilvl="0" w:tentative="0">
      <w:start w:val="7"/>
      <w:numFmt w:val="decimal"/>
      <w:suff w:val="nothing"/>
      <w:lvlText w:val="%1）"/>
      <w:lvlJc w:val="left"/>
    </w:lvl>
  </w:abstractNum>
  <w:abstractNum w:abstractNumId="3">
    <w:nsid w:val="0CC17D49"/>
    <w:multiLevelType w:val="singleLevel"/>
    <w:tmpl w:val="0CC17D49"/>
    <w:lvl w:ilvl="0" w:tentative="0">
      <w:start w:val="1"/>
      <w:numFmt w:val="decimal"/>
      <w:lvlText w:val="%1."/>
      <w:lvlJc w:val="left"/>
      <w:pPr>
        <w:tabs>
          <w:tab w:val="left" w:pos="907"/>
        </w:tabs>
        <w:ind w:left="907" w:hanging="425"/>
      </w:pPr>
      <w:rPr>
        <w:rFonts w:hint="default" w:ascii="Times New Roman" w:hAnsi="Times New Roman"/>
      </w:rPr>
    </w:lvl>
  </w:abstractNum>
  <w:abstractNum w:abstractNumId="4">
    <w:nsid w:val="0DBB6780"/>
    <w:multiLevelType w:val="singleLevel"/>
    <w:tmpl w:val="0DBB6780"/>
    <w:lvl w:ilvl="0" w:tentative="0">
      <w:start w:val="4"/>
      <w:numFmt w:val="decimal"/>
      <w:lvlText w:val="%1."/>
      <w:lvlJc w:val="left"/>
      <w:pPr>
        <w:tabs>
          <w:tab w:val="left" w:pos="360"/>
        </w:tabs>
        <w:ind w:left="340" w:hanging="340"/>
      </w:pPr>
      <w:rPr>
        <w:rFonts w:hint="eastAsia" w:ascii="黑体" w:eastAsia="黑体"/>
        <w:b/>
        <w:i w:val="0"/>
        <w:sz w:val="24"/>
      </w:rPr>
    </w:lvl>
  </w:abstractNum>
  <w:abstractNum w:abstractNumId="5">
    <w:nsid w:val="1ECD647B"/>
    <w:multiLevelType w:val="multilevel"/>
    <w:tmpl w:val="1ECD647B"/>
    <w:lvl w:ilvl="0" w:tentative="0">
      <w:start w:val="24"/>
      <w:numFmt w:val="decimal"/>
      <w:lvlText w:val="%1"/>
      <w:lvlJc w:val="left"/>
      <w:pPr>
        <w:tabs>
          <w:tab w:val="left" w:pos="375"/>
        </w:tabs>
        <w:ind w:left="375" w:hanging="375"/>
      </w:pPr>
      <w:rPr>
        <w:rFonts w:hint="default"/>
      </w:rPr>
    </w:lvl>
    <w:lvl w:ilvl="1" w:tentative="0">
      <w:start w:val="4"/>
      <w:numFmt w:val="decimal"/>
      <w:lvlText w:val="%1.%2"/>
      <w:lvlJc w:val="left"/>
      <w:pPr>
        <w:tabs>
          <w:tab w:val="left" w:pos="942"/>
        </w:tabs>
        <w:ind w:left="942" w:hanging="375"/>
      </w:pPr>
      <w:rPr>
        <w:rFonts w:hint="default"/>
      </w:rPr>
    </w:lvl>
    <w:lvl w:ilvl="2" w:tentative="0">
      <w:start w:val="1"/>
      <w:numFmt w:val="decimal"/>
      <w:lvlText w:val="%1.%2.%3"/>
      <w:lvlJc w:val="left"/>
      <w:pPr>
        <w:tabs>
          <w:tab w:val="left" w:pos="1854"/>
        </w:tabs>
        <w:ind w:left="1854" w:hanging="720"/>
      </w:pPr>
      <w:rPr>
        <w:rFonts w:hint="default"/>
      </w:rPr>
    </w:lvl>
    <w:lvl w:ilvl="3" w:tentative="0">
      <w:start w:val="1"/>
      <w:numFmt w:val="decimal"/>
      <w:lvlText w:val="%1.%2.%3.%4"/>
      <w:lvlJc w:val="left"/>
      <w:pPr>
        <w:tabs>
          <w:tab w:val="left" w:pos="2421"/>
        </w:tabs>
        <w:ind w:left="2421" w:hanging="720"/>
      </w:pPr>
      <w:rPr>
        <w:rFonts w:hint="default"/>
      </w:rPr>
    </w:lvl>
    <w:lvl w:ilvl="4" w:tentative="0">
      <w:start w:val="1"/>
      <w:numFmt w:val="decimal"/>
      <w:lvlText w:val="%1.%2.%3.%4.%5"/>
      <w:lvlJc w:val="left"/>
      <w:pPr>
        <w:tabs>
          <w:tab w:val="left" w:pos="3348"/>
        </w:tabs>
        <w:ind w:left="3348" w:hanging="1080"/>
      </w:pPr>
      <w:rPr>
        <w:rFonts w:hint="default"/>
      </w:rPr>
    </w:lvl>
    <w:lvl w:ilvl="5" w:tentative="0">
      <w:start w:val="1"/>
      <w:numFmt w:val="decimal"/>
      <w:lvlText w:val="%1.%2.%3.%4.%5.%6"/>
      <w:lvlJc w:val="left"/>
      <w:pPr>
        <w:tabs>
          <w:tab w:val="left" w:pos="3915"/>
        </w:tabs>
        <w:ind w:left="3915" w:hanging="1080"/>
      </w:pPr>
      <w:rPr>
        <w:rFonts w:hint="default"/>
      </w:rPr>
    </w:lvl>
    <w:lvl w:ilvl="6" w:tentative="0">
      <w:start w:val="1"/>
      <w:numFmt w:val="decimal"/>
      <w:lvlText w:val="%1.%2.%3.%4.%5.%6.%7"/>
      <w:lvlJc w:val="left"/>
      <w:pPr>
        <w:tabs>
          <w:tab w:val="left" w:pos="4482"/>
        </w:tabs>
        <w:ind w:left="4482" w:hanging="1080"/>
      </w:pPr>
      <w:rPr>
        <w:rFonts w:hint="default"/>
      </w:rPr>
    </w:lvl>
    <w:lvl w:ilvl="7" w:tentative="0">
      <w:start w:val="1"/>
      <w:numFmt w:val="decimal"/>
      <w:lvlText w:val="%1.%2.%3.%4.%5.%6.%7.%8"/>
      <w:lvlJc w:val="left"/>
      <w:pPr>
        <w:tabs>
          <w:tab w:val="left" w:pos="5409"/>
        </w:tabs>
        <w:ind w:left="5409" w:hanging="1440"/>
      </w:pPr>
      <w:rPr>
        <w:rFonts w:hint="default"/>
      </w:rPr>
    </w:lvl>
    <w:lvl w:ilvl="8" w:tentative="0">
      <w:start w:val="1"/>
      <w:numFmt w:val="decimal"/>
      <w:lvlText w:val="%1.%2.%3.%4.%5.%6.%7.%8.%9"/>
      <w:lvlJc w:val="left"/>
      <w:pPr>
        <w:tabs>
          <w:tab w:val="left" w:pos="5976"/>
        </w:tabs>
        <w:ind w:left="5976" w:hanging="1440"/>
      </w:pPr>
      <w:rPr>
        <w:rFonts w:hint="default"/>
      </w:rPr>
    </w:lvl>
  </w:abstractNum>
  <w:abstractNum w:abstractNumId="6">
    <w:nsid w:val="23CA256A"/>
    <w:multiLevelType w:val="singleLevel"/>
    <w:tmpl w:val="23CA256A"/>
    <w:lvl w:ilvl="0" w:tentative="0">
      <w:start w:val="1"/>
      <w:numFmt w:val="decimal"/>
      <w:lvlText w:val="%1)"/>
      <w:lvlJc w:val="left"/>
      <w:pPr>
        <w:tabs>
          <w:tab w:val="left" w:pos="1389"/>
        </w:tabs>
        <w:ind w:left="1389" w:hanging="368"/>
      </w:pPr>
      <w:rPr>
        <w:rFonts w:hint="default" w:ascii="Times New Roman" w:hAnsi="Times New Roman"/>
        <w:b w:val="0"/>
        <w:i w:val="0"/>
        <w:sz w:val="24"/>
      </w:rPr>
    </w:lvl>
  </w:abstractNum>
  <w:abstractNum w:abstractNumId="7">
    <w:nsid w:val="33591DED"/>
    <w:multiLevelType w:val="singleLevel"/>
    <w:tmpl w:val="33591DED"/>
    <w:lvl w:ilvl="0" w:tentative="0">
      <w:start w:val="1"/>
      <w:numFmt w:val="decimal"/>
      <w:lvlText w:val="%1.1"/>
      <w:lvlJc w:val="left"/>
      <w:pPr>
        <w:tabs>
          <w:tab w:val="left" w:pos="1021"/>
        </w:tabs>
        <w:ind w:left="1021" w:hanging="454"/>
      </w:pPr>
      <w:rPr>
        <w:rFonts w:hint="default" w:ascii="Times New Roman" w:hAnsi="Times New Roman"/>
        <w:b w:val="0"/>
        <w:i w:val="0"/>
        <w:sz w:val="24"/>
      </w:rPr>
    </w:lvl>
  </w:abstractNum>
  <w:abstractNum w:abstractNumId="8">
    <w:nsid w:val="33E1737A"/>
    <w:multiLevelType w:val="multilevel"/>
    <w:tmpl w:val="33E1737A"/>
    <w:lvl w:ilvl="0" w:tentative="0">
      <w:start w:val="1"/>
      <w:numFmt w:val="bullet"/>
      <w:pStyle w:val="122"/>
      <w:lvlText w:val=""/>
      <w:lvlJc w:val="left"/>
      <w:pPr>
        <w:tabs>
          <w:tab w:val="left" w:pos="600"/>
        </w:tabs>
        <w:ind w:left="60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69709A3"/>
    <w:multiLevelType w:val="multilevel"/>
    <w:tmpl w:val="369709A3"/>
    <w:lvl w:ilvl="0" w:tentative="0">
      <w:start w:val="1"/>
      <w:numFmt w:val="decimal"/>
      <w:pStyle w:val="130"/>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lang w:val="en-GB"/>
      </w:rPr>
    </w:lvl>
    <w:lvl w:ilvl="2" w:tentative="0">
      <w:start w:val="1"/>
      <w:numFmt w:val="decimal"/>
      <w:pStyle w:val="173"/>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3D761791"/>
    <w:multiLevelType w:val="singleLevel"/>
    <w:tmpl w:val="3D761791"/>
    <w:lvl w:ilvl="0" w:tentative="0">
      <w:start w:val="1"/>
      <w:numFmt w:val="decimal"/>
      <w:lvlText w:val="%1."/>
      <w:lvlJc w:val="left"/>
      <w:pPr>
        <w:tabs>
          <w:tab w:val="left" w:pos="851"/>
        </w:tabs>
        <w:ind w:left="851" w:hanging="369"/>
      </w:pPr>
      <w:rPr>
        <w:rFonts w:hint="default" w:ascii="Times New Roman" w:hAnsi="Times New Roman"/>
      </w:rPr>
    </w:lvl>
  </w:abstractNum>
  <w:abstractNum w:abstractNumId="11">
    <w:nsid w:val="547B2B75"/>
    <w:multiLevelType w:val="multilevel"/>
    <w:tmpl w:val="547B2B75"/>
    <w:lvl w:ilvl="0" w:tentative="0">
      <w:start w:val="12"/>
      <w:numFmt w:val="decimal"/>
      <w:lvlText w:val="%1"/>
      <w:lvlJc w:val="left"/>
      <w:pPr>
        <w:tabs>
          <w:tab w:val="left" w:pos="720"/>
        </w:tabs>
        <w:ind w:left="720" w:hanging="720"/>
      </w:pPr>
      <w:rPr>
        <w:rFonts w:hint="default"/>
      </w:rPr>
    </w:lvl>
    <w:lvl w:ilvl="1" w:tentative="0">
      <w:start w:val="2"/>
      <w:numFmt w:val="decimal"/>
      <w:lvlText w:val="%1.%2"/>
      <w:lvlJc w:val="left"/>
      <w:pPr>
        <w:tabs>
          <w:tab w:val="left" w:pos="1287"/>
        </w:tabs>
        <w:ind w:left="1287" w:hanging="720"/>
      </w:pPr>
      <w:rPr>
        <w:rFonts w:hint="default"/>
      </w:rPr>
    </w:lvl>
    <w:lvl w:ilvl="2" w:tentative="0">
      <w:start w:val="1"/>
      <w:numFmt w:val="decimal"/>
      <w:lvlText w:val="%1.%2.%3"/>
      <w:lvlJc w:val="left"/>
      <w:pPr>
        <w:tabs>
          <w:tab w:val="left" w:pos="1854"/>
        </w:tabs>
        <w:ind w:left="1854" w:hanging="720"/>
      </w:pPr>
      <w:rPr>
        <w:rFonts w:hint="default"/>
      </w:rPr>
    </w:lvl>
    <w:lvl w:ilvl="3" w:tentative="0">
      <w:start w:val="1"/>
      <w:numFmt w:val="decimal"/>
      <w:lvlText w:val="%1.%2.%3.%4"/>
      <w:lvlJc w:val="left"/>
      <w:pPr>
        <w:tabs>
          <w:tab w:val="left" w:pos="2781"/>
        </w:tabs>
        <w:ind w:left="2781" w:hanging="1080"/>
      </w:pPr>
      <w:rPr>
        <w:rFonts w:hint="default"/>
      </w:rPr>
    </w:lvl>
    <w:lvl w:ilvl="4" w:tentative="0">
      <w:start w:val="1"/>
      <w:numFmt w:val="decimal"/>
      <w:lvlText w:val="%1.%2.%3.%4.%5"/>
      <w:lvlJc w:val="left"/>
      <w:pPr>
        <w:tabs>
          <w:tab w:val="left" w:pos="3348"/>
        </w:tabs>
        <w:ind w:left="3348" w:hanging="1080"/>
      </w:pPr>
      <w:rPr>
        <w:rFonts w:hint="default"/>
      </w:rPr>
    </w:lvl>
    <w:lvl w:ilvl="5" w:tentative="0">
      <w:start w:val="1"/>
      <w:numFmt w:val="decimal"/>
      <w:lvlText w:val="%1.%2.%3.%4.%5.%6"/>
      <w:lvlJc w:val="left"/>
      <w:pPr>
        <w:tabs>
          <w:tab w:val="left" w:pos="4275"/>
        </w:tabs>
        <w:ind w:left="4275" w:hanging="1440"/>
      </w:pPr>
      <w:rPr>
        <w:rFonts w:hint="default"/>
      </w:rPr>
    </w:lvl>
    <w:lvl w:ilvl="6" w:tentative="0">
      <w:start w:val="1"/>
      <w:numFmt w:val="decimal"/>
      <w:lvlText w:val="%1.%2.%3.%4.%5.%6.%7"/>
      <w:lvlJc w:val="left"/>
      <w:pPr>
        <w:tabs>
          <w:tab w:val="left" w:pos="5202"/>
        </w:tabs>
        <w:ind w:left="5202" w:hanging="1800"/>
      </w:pPr>
      <w:rPr>
        <w:rFonts w:hint="default"/>
      </w:rPr>
    </w:lvl>
    <w:lvl w:ilvl="7" w:tentative="0">
      <w:start w:val="1"/>
      <w:numFmt w:val="decimal"/>
      <w:lvlText w:val="%1.%2.%3.%4.%5.%6.%7.%8"/>
      <w:lvlJc w:val="left"/>
      <w:pPr>
        <w:tabs>
          <w:tab w:val="left" w:pos="5769"/>
        </w:tabs>
        <w:ind w:left="5769" w:hanging="1800"/>
      </w:pPr>
      <w:rPr>
        <w:rFonts w:hint="default"/>
      </w:rPr>
    </w:lvl>
    <w:lvl w:ilvl="8" w:tentative="0">
      <w:start w:val="1"/>
      <w:numFmt w:val="decimal"/>
      <w:lvlText w:val="%1.%2.%3.%4.%5.%6.%7.%8.%9"/>
      <w:lvlJc w:val="left"/>
      <w:pPr>
        <w:tabs>
          <w:tab w:val="left" w:pos="6696"/>
        </w:tabs>
        <w:ind w:left="6696" w:hanging="2160"/>
      </w:pPr>
      <w:rPr>
        <w:rFonts w:hint="default"/>
      </w:rPr>
    </w:lvl>
  </w:abstractNum>
  <w:abstractNum w:abstractNumId="12">
    <w:nsid w:val="58F43690"/>
    <w:multiLevelType w:val="singleLevel"/>
    <w:tmpl w:val="58F43690"/>
    <w:lvl w:ilvl="0" w:tentative="0">
      <w:start w:val="1"/>
      <w:numFmt w:val="decimal"/>
      <w:suff w:val="nothing"/>
      <w:lvlText w:val="（%1）"/>
      <w:lvlJc w:val="left"/>
    </w:lvl>
  </w:abstractNum>
  <w:abstractNum w:abstractNumId="13">
    <w:nsid w:val="5DB24C49"/>
    <w:multiLevelType w:val="singleLevel"/>
    <w:tmpl w:val="5DB24C49"/>
    <w:lvl w:ilvl="0" w:tentative="0">
      <w:start w:val="1"/>
      <w:numFmt w:val="decimal"/>
      <w:lvlText w:val="%1)"/>
      <w:lvlJc w:val="left"/>
      <w:pPr>
        <w:tabs>
          <w:tab w:val="left" w:pos="1389"/>
        </w:tabs>
        <w:ind w:left="1389" w:hanging="368"/>
      </w:pPr>
      <w:rPr>
        <w:rFonts w:hint="default" w:ascii="Times New Roman" w:hAnsi="Times New Roman"/>
        <w:b w:val="0"/>
        <w:i w:val="0"/>
        <w:sz w:val="24"/>
      </w:rPr>
    </w:lvl>
  </w:abstractNum>
  <w:abstractNum w:abstractNumId="14">
    <w:nsid w:val="65FE7BF1"/>
    <w:multiLevelType w:val="singleLevel"/>
    <w:tmpl w:val="65FE7BF1"/>
    <w:lvl w:ilvl="0" w:tentative="0">
      <w:start w:val="1"/>
      <w:numFmt w:val="decimal"/>
      <w:lvlText w:val="%1)"/>
      <w:lvlJc w:val="left"/>
      <w:pPr>
        <w:tabs>
          <w:tab w:val="left" w:pos="1389"/>
        </w:tabs>
        <w:ind w:left="1389" w:hanging="368"/>
      </w:pPr>
      <w:rPr>
        <w:rFonts w:hint="default" w:ascii="Times New Roman" w:hAnsi="Times New Roman"/>
        <w:b w:val="0"/>
        <w:i w:val="0"/>
        <w:sz w:val="24"/>
      </w:rPr>
    </w:lvl>
  </w:abstractNum>
  <w:abstractNum w:abstractNumId="15">
    <w:nsid w:val="7B151701"/>
    <w:multiLevelType w:val="multilevel"/>
    <w:tmpl w:val="7B151701"/>
    <w:lvl w:ilvl="0" w:tentative="0">
      <w:start w:val="1"/>
      <w:numFmt w:val="decimal"/>
      <w:lvlText w:val="%1."/>
      <w:lvlJc w:val="left"/>
      <w:pPr>
        <w:tabs>
          <w:tab w:val="left" w:pos="0"/>
        </w:tabs>
        <w:ind w:left="420" w:hanging="420"/>
      </w:pPr>
      <w:rPr>
        <w:rFonts w:hint="eastAsia"/>
      </w:rPr>
    </w:lvl>
    <w:lvl w:ilvl="1" w:tentative="0">
      <w:start w:val="1"/>
      <w:numFmt w:val="decimal"/>
      <w:pStyle w:val="149"/>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8"/>
  </w:num>
  <w:num w:numId="2">
    <w:abstractNumId w:val="9"/>
  </w:num>
  <w:num w:numId="3">
    <w:abstractNumId w:val="15"/>
  </w:num>
  <w:num w:numId="4">
    <w:abstractNumId w:val="7"/>
  </w:num>
  <w:num w:numId="5">
    <w:abstractNumId w:val="1"/>
  </w:num>
  <w:num w:numId="6">
    <w:abstractNumId w:val="2"/>
  </w:num>
  <w:num w:numId="7">
    <w:abstractNumId w:val="11"/>
  </w:num>
  <w:num w:numId="8">
    <w:abstractNumId w:val="6"/>
  </w:num>
  <w:num w:numId="9">
    <w:abstractNumId w:val="14"/>
  </w:num>
  <w:num w:numId="10">
    <w:abstractNumId w:val="5"/>
  </w:num>
  <w:num w:numId="11">
    <w:abstractNumId w:val="13"/>
  </w:num>
  <w:num w:numId="12">
    <w:abstractNumId w:val="12"/>
  </w:num>
  <w:num w:numId="13">
    <w:abstractNumId w:val="10"/>
  </w:num>
  <w:num w:numId="14">
    <w:abstractNumId w:val="3"/>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U0tDQ3NjOyNDQ2sTBT0lEKTi0uzszPAykwqQUAufm4VywAAAA="/>
    <w:docVar w:name="commondata" w:val="eyJoZGlkIjoiZDY4NzhlMDZiOTEwZThjOGMwNTU1ZWRiYmI5YmI3YTkifQ=="/>
  </w:docVars>
  <w:rsids>
    <w:rsidRoot w:val="00820514"/>
    <w:rsid w:val="00001C1B"/>
    <w:rsid w:val="00001FBB"/>
    <w:rsid w:val="00002CF4"/>
    <w:rsid w:val="00002D47"/>
    <w:rsid w:val="0000348E"/>
    <w:rsid w:val="00004A51"/>
    <w:rsid w:val="00005117"/>
    <w:rsid w:val="00005E52"/>
    <w:rsid w:val="00005E7E"/>
    <w:rsid w:val="00006B22"/>
    <w:rsid w:val="00007A7D"/>
    <w:rsid w:val="00007D48"/>
    <w:rsid w:val="0001000D"/>
    <w:rsid w:val="000117CF"/>
    <w:rsid w:val="000119D8"/>
    <w:rsid w:val="000128CE"/>
    <w:rsid w:val="00012E3E"/>
    <w:rsid w:val="0001328E"/>
    <w:rsid w:val="00014272"/>
    <w:rsid w:val="00014F69"/>
    <w:rsid w:val="000150CC"/>
    <w:rsid w:val="00016BE4"/>
    <w:rsid w:val="00017A86"/>
    <w:rsid w:val="0002064C"/>
    <w:rsid w:val="00020B54"/>
    <w:rsid w:val="000217B8"/>
    <w:rsid w:val="0002319B"/>
    <w:rsid w:val="00023348"/>
    <w:rsid w:val="00023783"/>
    <w:rsid w:val="0002416A"/>
    <w:rsid w:val="000243FF"/>
    <w:rsid w:val="00024C8D"/>
    <w:rsid w:val="00024F99"/>
    <w:rsid w:val="0002577B"/>
    <w:rsid w:val="00025B3D"/>
    <w:rsid w:val="00026180"/>
    <w:rsid w:val="0003118A"/>
    <w:rsid w:val="00035438"/>
    <w:rsid w:val="00036CF3"/>
    <w:rsid w:val="00037893"/>
    <w:rsid w:val="00037AA1"/>
    <w:rsid w:val="00037ED0"/>
    <w:rsid w:val="0004036C"/>
    <w:rsid w:val="00042186"/>
    <w:rsid w:val="00047697"/>
    <w:rsid w:val="00047D1A"/>
    <w:rsid w:val="000514E6"/>
    <w:rsid w:val="00051EF6"/>
    <w:rsid w:val="000520D0"/>
    <w:rsid w:val="00052E6A"/>
    <w:rsid w:val="00053315"/>
    <w:rsid w:val="00053D18"/>
    <w:rsid w:val="00053DE2"/>
    <w:rsid w:val="000545FC"/>
    <w:rsid w:val="00054731"/>
    <w:rsid w:val="00054A0E"/>
    <w:rsid w:val="00054B51"/>
    <w:rsid w:val="000559BE"/>
    <w:rsid w:val="00056491"/>
    <w:rsid w:val="00057EBA"/>
    <w:rsid w:val="00057FA6"/>
    <w:rsid w:val="00060709"/>
    <w:rsid w:val="0006079D"/>
    <w:rsid w:val="00061433"/>
    <w:rsid w:val="00062133"/>
    <w:rsid w:val="0006234D"/>
    <w:rsid w:val="00063533"/>
    <w:rsid w:val="00064145"/>
    <w:rsid w:val="00065A8F"/>
    <w:rsid w:val="000661B9"/>
    <w:rsid w:val="0006665C"/>
    <w:rsid w:val="000675C5"/>
    <w:rsid w:val="0006786B"/>
    <w:rsid w:val="00067EB8"/>
    <w:rsid w:val="000718FF"/>
    <w:rsid w:val="00071D13"/>
    <w:rsid w:val="000739B7"/>
    <w:rsid w:val="0007758F"/>
    <w:rsid w:val="00077D99"/>
    <w:rsid w:val="00080363"/>
    <w:rsid w:val="00080CE6"/>
    <w:rsid w:val="0008107F"/>
    <w:rsid w:val="00081FBA"/>
    <w:rsid w:val="00083595"/>
    <w:rsid w:val="00083747"/>
    <w:rsid w:val="00083AFA"/>
    <w:rsid w:val="00083F76"/>
    <w:rsid w:val="00084FBE"/>
    <w:rsid w:val="000869C0"/>
    <w:rsid w:val="00086CD6"/>
    <w:rsid w:val="00093300"/>
    <w:rsid w:val="000934A7"/>
    <w:rsid w:val="00093739"/>
    <w:rsid w:val="00093DC9"/>
    <w:rsid w:val="00093F75"/>
    <w:rsid w:val="0009571A"/>
    <w:rsid w:val="00095A58"/>
    <w:rsid w:val="00095CE6"/>
    <w:rsid w:val="00095FCB"/>
    <w:rsid w:val="000960ED"/>
    <w:rsid w:val="0009694A"/>
    <w:rsid w:val="00096A2A"/>
    <w:rsid w:val="00096BF9"/>
    <w:rsid w:val="0009715E"/>
    <w:rsid w:val="0009761F"/>
    <w:rsid w:val="00097F13"/>
    <w:rsid w:val="000A03B3"/>
    <w:rsid w:val="000A07E3"/>
    <w:rsid w:val="000A10EC"/>
    <w:rsid w:val="000A1B60"/>
    <w:rsid w:val="000A45BD"/>
    <w:rsid w:val="000A5763"/>
    <w:rsid w:val="000A6158"/>
    <w:rsid w:val="000A6FE7"/>
    <w:rsid w:val="000B03A6"/>
    <w:rsid w:val="000B1255"/>
    <w:rsid w:val="000B1B7E"/>
    <w:rsid w:val="000B2556"/>
    <w:rsid w:val="000B372F"/>
    <w:rsid w:val="000B3BC0"/>
    <w:rsid w:val="000B46F5"/>
    <w:rsid w:val="000B5FD2"/>
    <w:rsid w:val="000B6954"/>
    <w:rsid w:val="000B70C2"/>
    <w:rsid w:val="000B742D"/>
    <w:rsid w:val="000B78ED"/>
    <w:rsid w:val="000C17AE"/>
    <w:rsid w:val="000C2D80"/>
    <w:rsid w:val="000C31AA"/>
    <w:rsid w:val="000C48A7"/>
    <w:rsid w:val="000C5027"/>
    <w:rsid w:val="000C5C78"/>
    <w:rsid w:val="000C5D3F"/>
    <w:rsid w:val="000C64A4"/>
    <w:rsid w:val="000C6BA6"/>
    <w:rsid w:val="000C710A"/>
    <w:rsid w:val="000D03A0"/>
    <w:rsid w:val="000D06DF"/>
    <w:rsid w:val="000D07A0"/>
    <w:rsid w:val="000D09FB"/>
    <w:rsid w:val="000D100F"/>
    <w:rsid w:val="000D188C"/>
    <w:rsid w:val="000D3398"/>
    <w:rsid w:val="000D3C2D"/>
    <w:rsid w:val="000D3CA5"/>
    <w:rsid w:val="000D46CA"/>
    <w:rsid w:val="000D5AB0"/>
    <w:rsid w:val="000D5BBE"/>
    <w:rsid w:val="000D6651"/>
    <w:rsid w:val="000E241E"/>
    <w:rsid w:val="000E2453"/>
    <w:rsid w:val="000E25A8"/>
    <w:rsid w:val="000E2665"/>
    <w:rsid w:val="000E273C"/>
    <w:rsid w:val="000E496F"/>
    <w:rsid w:val="000E5CD7"/>
    <w:rsid w:val="000E6E43"/>
    <w:rsid w:val="000F0969"/>
    <w:rsid w:val="000F3B66"/>
    <w:rsid w:val="000F434F"/>
    <w:rsid w:val="000F4383"/>
    <w:rsid w:val="000F47A6"/>
    <w:rsid w:val="000F72FA"/>
    <w:rsid w:val="000F79AE"/>
    <w:rsid w:val="000F7A1B"/>
    <w:rsid w:val="00100077"/>
    <w:rsid w:val="00100D1A"/>
    <w:rsid w:val="00101191"/>
    <w:rsid w:val="0010123A"/>
    <w:rsid w:val="001014EA"/>
    <w:rsid w:val="00102116"/>
    <w:rsid w:val="001047D8"/>
    <w:rsid w:val="00110D6C"/>
    <w:rsid w:val="00111EE0"/>
    <w:rsid w:val="00113949"/>
    <w:rsid w:val="0011490B"/>
    <w:rsid w:val="00114C15"/>
    <w:rsid w:val="00116966"/>
    <w:rsid w:val="001171B2"/>
    <w:rsid w:val="001175E0"/>
    <w:rsid w:val="00117BCA"/>
    <w:rsid w:val="001208C2"/>
    <w:rsid w:val="00120A86"/>
    <w:rsid w:val="00120F4F"/>
    <w:rsid w:val="00121533"/>
    <w:rsid w:val="00121698"/>
    <w:rsid w:val="001223EA"/>
    <w:rsid w:val="001232D8"/>
    <w:rsid w:val="00123482"/>
    <w:rsid w:val="00123881"/>
    <w:rsid w:val="00124226"/>
    <w:rsid w:val="00124D4A"/>
    <w:rsid w:val="0012570F"/>
    <w:rsid w:val="00125D41"/>
    <w:rsid w:val="001269E4"/>
    <w:rsid w:val="001270B6"/>
    <w:rsid w:val="001273B1"/>
    <w:rsid w:val="00130517"/>
    <w:rsid w:val="00131A21"/>
    <w:rsid w:val="00131D6B"/>
    <w:rsid w:val="0013217A"/>
    <w:rsid w:val="00133696"/>
    <w:rsid w:val="00134867"/>
    <w:rsid w:val="001358E0"/>
    <w:rsid w:val="0013614E"/>
    <w:rsid w:val="00136D59"/>
    <w:rsid w:val="00136DB9"/>
    <w:rsid w:val="0014088B"/>
    <w:rsid w:val="001411FD"/>
    <w:rsid w:val="0014150C"/>
    <w:rsid w:val="00141630"/>
    <w:rsid w:val="00142A8A"/>
    <w:rsid w:val="0014310D"/>
    <w:rsid w:val="00143611"/>
    <w:rsid w:val="0014391E"/>
    <w:rsid w:val="00143EF5"/>
    <w:rsid w:val="00145372"/>
    <w:rsid w:val="00146122"/>
    <w:rsid w:val="0014628A"/>
    <w:rsid w:val="00146A4E"/>
    <w:rsid w:val="0015027C"/>
    <w:rsid w:val="00151BA5"/>
    <w:rsid w:val="001522D1"/>
    <w:rsid w:val="0015291E"/>
    <w:rsid w:val="00153CA9"/>
    <w:rsid w:val="001547B1"/>
    <w:rsid w:val="001556F0"/>
    <w:rsid w:val="00155886"/>
    <w:rsid w:val="00156077"/>
    <w:rsid w:val="001570F7"/>
    <w:rsid w:val="00157AFC"/>
    <w:rsid w:val="00160B71"/>
    <w:rsid w:val="0016124C"/>
    <w:rsid w:val="00162EB5"/>
    <w:rsid w:val="00164019"/>
    <w:rsid w:val="00164BD2"/>
    <w:rsid w:val="00164EBC"/>
    <w:rsid w:val="00166DE7"/>
    <w:rsid w:val="0017224F"/>
    <w:rsid w:val="00172F6B"/>
    <w:rsid w:val="001734D9"/>
    <w:rsid w:val="00173DAA"/>
    <w:rsid w:val="00173F5C"/>
    <w:rsid w:val="00174712"/>
    <w:rsid w:val="001752ED"/>
    <w:rsid w:val="0017531F"/>
    <w:rsid w:val="001759D9"/>
    <w:rsid w:val="00176518"/>
    <w:rsid w:val="00177914"/>
    <w:rsid w:val="00177BBA"/>
    <w:rsid w:val="00180CF4"/>
    <w:rsid w:val="00181E6A"/>
    <w:rsid w:val="00181F50"/>
    <w:rsid w:val="00183220"/>
    <w:rsid w:val="00183B10"/>
    <w:rsid w:val="00183EE4"/>
    <w:rsid w:val="001847E6"/>
    <w:rsid w:val="00184A83"/>
    <w:rsid w:val="001854CF"/>
    <w:rsid w:val="001859FE"/>
    <w:rsid w:val="00185D06"/>
    <w:rsid w:val="0018630C"/>
    <w:rsid w:val="001877EB"/>
    <w:rsid w:val="00187D30"/>
    <w:rsid w:val="00191682"/>
    <w:rsid w:val="0019206D"/>
    <w:rsid w:val="00192B7D"/>
    <w:rsid w:val="00192EA8"/>
    <w:rsid w:val="00193A57"/>
    <w:rsid w:val="00193E69"/>
    <w:rsid w:val="0019523B"/>
    <w:rsid w:val="00195EA0"/>
    <w:rsid w:val="00195EDF"/>
    <w:rsid w:val="001A047F"/>
    <w:rsid w:val="001A0C07"/>
    <w:rsid w:val="001A2308"/>
    <w:rsid w:val="001A25BE"/>
    <w:rsid w:val="001A333A"/>
    <w:rsid w:val="001A4707"/>
    <w:rsid w:val="001A5AF1"/>
    <w:rsid w:val="001A65AF"/>
    <w:rsid w:val="001A706B"/>
    <w:rsid w:val="001A7418"/>
    <w:rsid w:val="001A77ED"/>
    <w:rsid w:val="001B0B66"/>
    <w:rsid w:val="001B38D8"/>
    <w:rsid w:val="001B4139"/>
    <w:rsid w:val="001B4C87"/>
    <w:rsid w:val="001C018E"/>
    <w:rsid w:val="001C179C"/>
    <w:rsid w:val="001C193B"/>
    <w:rsid w:val="001C2737"/>
    <w:rsid w:val="001C3814"/>
    <w:rsid w:val="001C5BE3"/>
    <w:rsid w:val="001C5DE3"/>
    <w:rsid w:val="001C7DB1"/>
    <w:rsid w:val="001D0815"/>
    <w:rsid w:val="001D082D"/>
    <w:rsid w:val="001D1732"/>
    <w:rsid w:val="001D2240"/>
    <w:rsid w:val="001D2F48"/>
    <w:rsid w:val="001D30B4"/>
    <w:rsid w:val="001D3428"/>
    <w:rsid w:val="001D3FCA"/>
    <w:rsid w:val="001D4184"/>
    <w:rsid w:val="001D4AFD"/>
    <w:rsid w:val="001D5B7A"/>
    <w:rsid w:val="001D5B8A"/>
    <w:rsid w:val="001D5C4D"/>
    <w:rsid w:val="001D5CC1"/>
    <w:rsid w:val="001E01A6"/>
    <w:rsid w:val="001E0C81"/>
    <w:rsid w:val="001E213F"/>
    <w:rsid w:val="001E2384"/>
    <w:rsid w:val="001E324A"/>
    <w:rsid w:val="001E42AA"/>
    <w:rsid w:val="001E5975"/>
    <w:rsid w:val="001E760C"/>
    <w:rsid w:val="001F0F47"/>
    <w:rsid w:val="001F10BB"/>
    <w:rsid w:val="001F12A9"/>
    <w:rsid w:val="001F17E6"/>
    <w:rsid w:val="001F1A17"/>
    <w:rsid w:val="001F1C8B"/>
    <w:rsid w:val="001F1EE6"/>
    <w:rsid w:val="001F259C"/>
    <w:rsid w:val="001F454B"/>
    <w:rsid w:val="001F49F9"/>
    <w:rsid w:val="001F50A1"/>
    <w:rsid w:val="001F561A"/>
    <w:rsid w:val="001F5984"/>
    <w:rsid w:val="001F59DF"/>
    <w:rsid w:val="001F64DB"/>
    <w:rsid w:val="001F6652"/>
    <w:rsid w:val="001F718B"/>
    <w:rsid w:val="002013BA"/>
    <w:rsid w:val="002022DC"/>
    <w:rsid w:val="00203B58"/>
    <w:rsid w:val="002041BC"/>
    <w:rsid w:val="00204797"/>
    <w:rsid w:val="00204D48"/>
    <w:rsid w:val="00204DC5"/>
    <w:rsid w:val="0020563F"/>
    <w:rsid w:val="002076E2"/>
    <w:rsid w:val="0021072F"/>
    <w:rsid w:val="00210F85"/>
    <w:rsid w:val="0021179B"/>
    <w:rsid w:val="002125C6"/>
    <w:rsid w:val="002127C4"/>
    <w:rsid w:val="00213ACE"/>
    <w:rsid w:val="0021445B"/>
    <w:rsid w:val="00215001"/>
    <w:rsid w:val="00215868"/>
    <w:rsid w:val="002163AB"/>
    <w:rsid w:val="0021777C"/>
    <w:rsid w:val="00221368"/>
    <w:rsid w:val="0022316C"/>
    <w:rsid w:val="00223EEF"/>
    <w:rsid w:val="00224C9F"/>
    <w:rsid w:val="0022573A"/>
    <w:rsid w:val="0022713F"/>
    <w:rsid w:val="00227761"/>
    <w:rsid w:val="00231DC1"/>
    <w:rsid w:val="00232369"/>
    <w:rsid w:val="00232A68"/>
    <w:rsid w:val="00232F07"/>
    <w:rsid w:val="002332FA"/>
    <w:rsid w:val="00233BC8"/>
    <w:rsid w:val="002349A9"/>
    <w:rsid w:val="00235F88"/>
    <w:rsid w:val="00236E79"/>
    <w:rsid w:val="002405D8"/>
    <w:rsid w:val="00240D57"/>
    <w:rsid w:val="0024288E"/>
    <w:rsid w:val="00246D84"/>
    <w:rsid w:val="0024740D"/>
    <w:rsid w:val="00247535"/>
    <w:rsid w:val="00247DAD"/>
    <w:rsid w:val="00247DE2"/>
    <w:rsid w:val="00247F48"/>
    <w:rsid w:val="002504BE"/>
    <w:rsid w:val="00250614"/>
    <w:rsid w:val="00250A78"/>
    <w:rsid w:val="00251067"/>
    <w:rsid w:val="002519A1"/>
    <w:rsid w:val="00252C8A"/>
    <w:rsid w:val="0025470B"/>
    <w:rsid w:val="00254892"/>
    <w:rsid w:val="00254900"/>
    <w:rsid w:val="002554E5"/>
    <w:rsid w:val="00255BE9"/>
    <w:rsid w:val="00255E1B"/>
    <w:rsid w:val="00256F0F"/>
    <w:rsid w:val="00257E4F"/>
    <w:rsid w:val="00260A4B"/>
    <w:rsid w:val="00260EF6"/>
    <w:rsid w:val="00262A23"/>
    <w:rsid w:val="002631C2"/>
    <w:rsid w:val="002634AA"/>
    <w:rsid w:val="0026409C"/>
    <w:rsid w:val="00265356"/>
    <w:rsid w:val="00266780"/>
    <w:rsid w:val="00266EF5"/>
    <w:rsid w:val="00267D3E"/>
    <w:rsid w:val="00270802"/>
    <w:rsid w:val="00270ECB"/>
    <w:rsid w:val="0027215C"/>
    <w:rsid w:val="00273747"/>
    <w:rsid w:val="0027392A"/>
    <w:rsid w:val="00274445"/>
    <w:rsid w:val="00277221"/>
    <w:rsid w:val="002776A5"/>
    <w:rsid w:val="00280E52"/>
    <w:rsid w:val="00281878"/>
    <w:rsid w:val="0028224C"/>
    <w:rsid w:val="00283440"/>
    <w:rsid w:val="00283633"/>
    <w:rsid w:val="00283C9E"/>
    <w:rsid w:val="00283E8F"/>
    <w:rsid w:val="00284708"/>
    <w:rsid w:val="00284907"/>
    <w:rsid w:val="00284C38"/>
    <w:rsid w:val="0028616A"/>
    <w:rsid w:val="00286559"/>
    <w:rsid w:val="0028678A"/>
    <w:rsid w:val="00287EED"/>
    <w:rsid w:val="002903F0"/>
    <w:rsid w:val="00290777"/>
    <w:rsid w:val="00290F38"/>
    <w:rsid w:val="00291AC1"/>
    <w:rsid w:val="00291B6D"/>
    <w:rsid w:val="002923C9"/>
    <w:rsid w:val="00292F78"/>
    <w:rsid w:val="002945C5"/>
    <w:rsid w:val="00295989"/>
    <w:rsid w:val="002960E9"/>
    <w:rsid w:val="002973A2"/>
    <w:rsid w:val="0029799A"/>
    <w:rsid w:val="002A16E4"/>
    <w:rsid w:val="002A1820"/>
    <w:rsid w:val="002A1A53"/>
    <w:rsid w:val="002A1CD9"/>
    <w:rsid w:val="002A35E9"/>
    <w:rsid w:val="002A36A2"/>
    <w:rsid w:val="002A39B7"/>
    <w:rsid w:val="002A582A"/>
    <w:rsid w:val="002A59F1"/>
    <w:rsid w:val="002A683B"/>
    <w:rsid w:val="002A6873"/>
    <w:rsid w:val="002A6AEF"/>
    <w:rsid w:val="002A6BCA"/>
    <w:rsid w:val="002A72E7"/>
    <w:rsid w:val="002A755C"/>
    <w:rsid w:val="002A7ED2"/>
    <w:rsid w:val="002B00D9"/>
    <w:rsid w:val="002B0894"/>
    <w:rsid w:val="002B0A81"/>
    <w:rsid w:val="002B1D8E"/>
    <w:rsid w:val="002B236A"/>
    <w:rsid w:val="002B25CB"/>
    <w:rsid w:val="002B3695"/>
    <w:rsid w:val="002B3F87"/>
    <w:rsid w:val="002B42C8"/>
    <w:rsid w:val="002B6180"/>
    <w:rsid w:val="002B61EC"/>
    <w:rsid w:val="002B6C25"/>
    <w:rsid w:val="002B6C92"/>
    <w:rsid w:val="002B748A"/>
    <w:rsid w:val="002C1DA4"/>
    <w:rsid w:val="002C1E50"/>
    <w:rsid w:val="002C2035"/>
    <w:rsid w:val="002C241F"/>
    <w:rsid w:val="002C36F6"/>
    <w:rsid w:val="002C3F67"/>
    <w:rsid w:val="002C480B"/>
    <w:rsid w:val="002C4FD9"/>
    <w:rsid w:val="002C52CE"/>
    <w:rsid w:val="002C539A"/>
    <w:rsid w:val="002C54C7"/>
    <w:rsid w:val="002C6CB8"/>
    <w:rsid w:val="002C7A7A"/>
    <w:rsid w:val="002C7A7F"/>
    <w:rsid w:val="002D24B8"/>
    <w:rsid w:val="002D3FC1"/>
    <w:rsid w:val="002D52DC"/>
    <w:rsid w:val="002D5C2A"/>
    <w:rsid w:val="002D6407"/>
    <w:rsid w:val="002D658E"/>
    <w:rsid w:val="002D73E4"/>
    <w:rsid w:val="002D7B12"/>
    <w:rsid w:val="002E279A"/>
    <w:rsid w:val="002E3E1D"/>
    <w:rsid w:val="002E4810"/>
    <w:rsid w:val="002E7020"/>
    <w:rsid w:val="002E78FE"/>
    <w:rsid w:val="002F0AC3"/>
    <w:rsid w:val="002F154C"/>
    <w:rsid w:val="002F27F3"/>
    <w:rsid w:val="002F2E36"/>
    <w:rsid w:val="002F3272"/>
    <w:rsid w:val="002F371C"/>
    <w:rsid w:val="002F4787"/>
    <w:rsid w:val="002F4D94"/>
    <w:rsid w:val="002F6507"/>
    <w:rsid w:val="002F6FDE"/>
    <w:rsid w:val="002F710D"/>
    <w:rsid w:val="002F76E3"/>
    <w:rsid w:val="002F7A78"/>
    <w:rsid w:val="0030166D"/>
    <w:rsid w:val="00301FD8"/>
    <w:rsid w:val="00302AA4"/>
    <w:rsid w:val="00302C8B"/>
    <w:rsid w:val="00304C63"/>
    <w:rsid w:val="00305936"/>
    <w:rsid w:val="00306303"/>
    <w:rsid w:val="00307DE7"/>
    <w:rsid w:val="003101A2"/>
    <w:rsid w:val="003117AC"/>
    <w:rsid w:val="00311A33"/>
    <w:rsid w:val="00311C1D"/>
    <w:rsid w:val="003126C4"/>
    <w:rsid w:val="00312E06"/>
    <w:rsid w:val="003130C3"/>
    <w:rsid w:val="00313898"/>
    <w:rsid w:val="00314B2A"/>
    <w:rsid w:val="00315BFF"/>
    <w:rsid w:val="00315EC6"/>
    <w:rsid w:val="0031703A"/>
    <w:rsid w:val="003205F7"/>
    <w:rsid w:val="00320766"/>
    <w:rsid w:val="00321650"/>
    <w:rsid w:val="003223ED"/>
    <w:rsid w:val="00324CDD"/>
    <w:rsid w:val="00325390"/>
    <w:rsid w:val="003262EF"/>
    <w:rsid w:val="003307F9"/>
    <w:rsid w:val="003309AC"/>
    <w:rsid w:val="00331050"/>
    <w:rsid w:val="0033170E"/>
    <w:rsid w:val="00331FBA"/>
    <w:rsid w:val="00332581"/>
    <w:rsid w:val="0033274D"/>
    <w:rsid w:val="00332CB7"/>
    <w:rsid w:val="0033319B"/>
    <w:rsid w:val="003332DF"/>
    <w:rsid w:val="0033418C"/>
    <w:rsid w:val="00334290"/>
    <w:rsid w:val="00334402"/>
    <w:rsid w:val="00334BA4"/>
    <w:rsid w:val="00336B29"/>
    <w:rsid w:val="00337020"/>
    <w:rsid w:val="0034029E"/>
    <w:rsid w:val="00341CC0"/>
    <w:rsid w:val="0034252E"/>
    <w:rsid w:val="003433FC"/>
    <w:rsid w:val="003438AC"/>
    <w:rsid w:val="00343D53"/>
    <w:rsid w:val="003461FB"/>
    <w:rsid w:val="00346A81"/>
    <w:rsid w:val="00346D79"/>
    <w:rsid w:val="003475FB"/>
    <w:rsid w:val="00351ACD"/>
    <w:rsid w:val="00351F3E"/>
    <w:rsid w:val="003543AF"/>
    <w:rsid w:val="003543E8"/>
    <w:rsid w:val="003574C9"/>
    <w:rsid w:val="003619D9"/>
    <w:rsid w:val="00361E70"/>
    <w:rsid w:val="00362D39"/>
    <w:rsid w:val="00363FC9"/>
    <w:rsid w:val="00364040"/>
    <w:rsid w:val="003647B3"/>
    <w:rsid w:val="003649C1"/>
    <w:rsid w:val="00364AF3"/>
    <w:rsid w:val="00364C2F"/>
    <w:rsid w:val="00364C8C"/>
    <w:rsid w:val="00364E9B"/>
    <w:rsid w:val="0036739E"/>
    <w:rsid w:val="0036759E"/>
    <w:rsid w:val="00367E55"/>
    <w:rsid w:val="00371BA4"/>
    <w:rsid w:val="00372484"/>
    <w:rsid w:val="00372C98"/>
    <w:rsid w:val="003744E8"/>
    <w:rsid w:val="0037564D"/>
    <w:rsid w:val="00376823"/>
    <w:rsid w:val="00377D38"/>
    <w:rsid w:val="00381478"/>
    <w:rsid w:val="00381EBA"/>
    <w:rsid w:val="00386477"/>
    <w:rsid w:val="00386BEE"/>
    <w:rsid w:val="00386F73"/>
    <w:rsid w:val="00387D4C"/>
    <w:rsid w:val="00390DE5"/>
    <w:rsid w:val="00391205"/>
    <w:rsid w:val="00391276"/>
    <w:rsid w:val="003913E0"/>
    <w:rsid w:val="00392982"/>
    <w:rsid w:val="00392C39"/>
    <w:rsid w:val="00393034"/>
    <w:rsid w:val="00394843"/>
    <w:rsid w:val="003948F2"/>
    <w:rsid w:val="00394F48"/>
    <w:rsid w:val="00394F9D"/>
    <w:rsid w:val="00394FE5"/>
    <w:rsid w:val="00395B73"/>
    <w:rsid w:val="003962FA"/>
    <w:rsid w:val="00396A72"/>
    <w:rsid w:val="003970B8"/>
    <w:rsid w:val="0039729B"/>
    <w:rsid w:val="0039761E"/>
    <w:rsid w:val="00397C51"/>
    <w:rsid w:val="00397E4E"/>
    <w:rsid w:val="003A061E"/>
    <w:rsid w:val="003A1BE8"/>
    <w:rsid w:val="003A4ADE"/>
    <w:rsid w:val="003A4CD0"/>
    <w:rsid w:val="003A4D06"/>
    <w:rsid w:val="003A4F37"/>
    <w:rsid w:val="003A7560"/>
    <w:rsid w:val="003B2014"/>
    <w:rsid w:val="003B217E"/>
    <w:rsid w:val="003B2D85"/>
    <w:rsid w:val="003B3536"/>
    <w:rsid w:val="003B3C14"/>
    <w:rsid w:val="003B3D50"/>
    <w:rsid w:val="003B3F48"/>
    <w:rsid w:val="003B568F"/>
    <w:rsid w:val="003B5E9D"/>
    <w:rsid w:val="003B65CE"/>
    <w:rsid w:val="003B699C"/>
    <w:rsid w:val="003C03ED"/>
    <w:rsid w:val="003C0501"/>
    <w:rsid w:val="003C2974"/>
    <w:rsid w:val="003C34C2"/>
    <w:rsid w:val="003C3894"/>
    <w:rsid w:val="003C3BD7"/>
    <w:rsid w:val="003C51A1"/>
    <w:rsid w:val="003C5F66"/>
    <w:rsid w:val="003C6E10"/>
    <w:rsid w:val="003C7A08"/>
    <w:rsid w:val="003D058C"/>
    <w:rsid w:val="003D0E67"/>
    <w:rsid w:val="003D341F"/>
    <w:rsid w:val="003D424F"/>
    <w:rsid w:val="003D5BC2"/>
    <w:rsid w:val="003D5FCC"/>
    <w:rsid w:val="003D6114"/>
    <w:rsid w:val="003D7609"/>
    <w:rsid w:val="003E06C9"/>
    <w:rsid w:val="003E299F"/>
    <w:rsid w:val="003E33D0"/>
    <w:rsid w:val="003E3C97"/>
    <w:rsid w:val="003E48D1"/>
    <w:rsid w:val="003E5A79"/>
    <w:rsid w:val="003E6262"/>
    <w:rsid w:val="003E6F20"/>
    <w:rsid w:val="003E76ED"/>
    <w:rsid w:val="003F09A4"/>
    <w:rsid w:val="003F0AA4"/>
    <w:rsid w:val="003F0FDD"/>
    <w:rsid w:val="003F1A6B"/>
    <w:rsid w:val="003F2462"/>
    <w:rsid w:val="003F34A3"/>
    <w:rsid w:val="003F4BD5"/>
    <w:rsid w:val="003F4C37"/>
    <w:rsid w:val="003F7DE4"/>
    <w:rsid w:val="0040001A"/>
    <w:rsid w:val="00401E97"/>
    <w:rsid w:val="004026B3"/>
    <w:rsid w:val="00402D11"/>
    <w:rsid w:val="00403F94"/>
    <w:rsid w:val="00404BE0"/>
    <w:rsid w:val="004075F8"/>
    <w:rsid w:val="0041089B"/>
    <w:rsid w:val="00410B57"/>
    <w:rsid w:val="00411A92"/>
    <w:rsid w:val="00413240"/>
    <w:rsid w:val="00413364"/>
    <w:rsid w:val="00414ED8"/>
    <w:rsid w:val="004151CD"/>
    <w:rsid w:val="00416063"/>
    <w:rsid w:val="00416192"/>
    <w:rsid w:val="00416C92"/>
    <w:rsid w:val="00417293"/>
    <w:rsid w:val="004200DC"/>
    <w:rsid w:val="00420699"/>
    <w:rsid w:val="00420AB9"/>
    <w:rsid w:val="0042100D"/>
    <w:rsid w:val="004210C5"/>
    <w:rsid w:val="00421F95"/>
    <w:rsid w:val="0042359C"/>
    <w:rsid w:val="00423714"/>
    <w:rsid w:val="00423B15"/>
    <w:rsid w:val="00424AB7"/>
    <w:rsid w:val="00424BE7"/>
    <w:rsid w:val="00424EFA"/>
    <w:rsid w:val="00425B65"/>
    <w:rsid w:val="0042707E"/>
    <w:rsid w:val="004307F3"/>
    <w:rsid w:val="004320C1"/>
    <w:rsid w:val="00432CEF"/>
    <w:rsid w:val="00433DA2"/>
    <w:rsid w:val="0043496F"/>
    <w:rsid w:val="00436DB2"/>
    <w:rsid w:val="00437172"/>
    <w:rsid w:val="00437572"/>
    <w:rsid w:val="00440736"/>
    <w:rsid w:val="00440DB8"/>
    <w:rsid w:val="0044227D"/>
    <w:rsid w:val="00442728"/>
    <w:rsid w:val="0044297A"/>
    <w:rsid w:val="00443464"/>
    <w:rsid w:val="004436D6"/>
    <w:rsid w:val="00443D38"/>
    <w:rsid w:val="00443FA7"/>
    <w:rsid w:val="004447F2"/>
    <w:rsid w:val="00444DA7"/>
    <w:rsid w:val="0044523B"/>
    <w:rsid w:val="00445730"/>
    <w:rsid w:val="00445974"/>
    <w:rsid w:val="00445CDB"/>
    <w:rsid w:val="00446A9C"/>
    <w:rsid w:val="00446CBE"/>
    <w:rsid w:val="00447281"/>
    <w:rsid w:val="00447EF2"/>
    <w:rsid w:val="0045127E"/>
    <w:rsid w:val="00451302"/>
    <w:rsid w:val="00452329"/>
    <w:rsid w:val="00452617"/>
    <w:rsid w:val="0045364D"/>
    <w:rsid w:val="004548D7"/>
    <w:rsid w:val="00455269"/>
    <w:rsid w:val="00455C6C"/>
    <w:rsid w:val="00455E5B"/>
    <w:rsid w:val="00456582"/>
    <w:rsid w:val="00456E96"/>
    <w:rsid w:val="004572F2"/>
    <w:rsid w:val="00457C57"/>
    <w:rsid w:val="00460174"/>
    <w:rsid w:val="0046098B"/>
    <w:rsid w:val="00461DC0"/>
    <w:rsid w:val="004622FE"/>
    <w:rsid w:val="00464A53"/>
    <w:rsid w:val="004651D1"/>
    <w:rsid w:val="004665AE"/>
    <w:rsid w:val="00466892"/>
    <w:rsid w:val="004669DF"/>
    <w:rsid w:val="004706A5"/>
    <w:rsid w:val="004729FF"/>
    <w:rsid w:val="00474D82"/>
    <w:rsid w:val="00474F83"/>
    <w:rsid w:val="004754D7"/>
    <w:rsid w:val="004760FD"/>
    <w:rsid w:val="0047648F"/>
    <w:rsid w:val="004768BE"/>
    <w:rsid w:val="004778C3"/>
    <w:rsid w:val="00477B45"/>
    <w:rsid w:val="00481ACC"/>
    <w:rsid w:val="00482960"/>
    <w:rsid w:val="00483014"/>
    <w:rsid w:val="00483626"/>
    <w:rsid w:val="004855D4"/>
    <w:rsid w:val="00486588"/>
    <w:rsid w:val="00491FE0"/>
    <w:rsid w:val="004938B8"/>
    <w:rsid w:val="00494084"/>
    <w:rsid w:val="00494AE3"/>
    <w:rsid w:val="00495849"/>
    <w:rsid w:val="0049743F"/>
    <w:rsid w:val="004976F2"/>
    <w:rsid w:val="00497D28"/>
    <w:rsid w:val="004A1F02"/>
    <w:rsid w:val="004A2B82"/>
    <w:rsid w:val="004A3118"/>
    <w:rsid w:val="004A393C"/>
    <w:rsid w:val="004A3D01"/>
    <w:rsid w:val="004A40D2"/>
    <w:rsid w:val="004A40F5"/>
    <w:rsid w:val="004A48C6"/>
    <w:rsid w:val="004A4DC5"/>
    <w:rsid w:val="004A5449"/>
    <w:rsid w:val="004A6663"/>
    <w:rsid w:val="004A70AC"/>
    <w:rsid w:val="004A79CD"/>
    <w:rsid w:val="004A7D06"/>
    <w:rsid w:val="004B0A9C"/>
    <w:rsid w:val="004B0D19"/>
    <w:rsid w:val="004B2E92"/>
    <w:rsid w:val="004B47CE"/>
    <w:rsid w:val="004B4B0A"/>
    <w:rsid w:val="004B4F5A"/>
    <w:rsid w:val="004B5027"/>
    <w:rsid w:val="004B5B78"/>
    <w:rsid w:val="004B5EA3"/>
    <w:rsid w:val="004B62CE"/>
    <w:rsid w:val="004B6505"/>
    <w:rsid w:val="004B67EB"/>
    <w:rsid w:val="004B6AA0"/>
    <w:rsid w:val="004B6E44"/>
    <w:rsid w:val="004B731F"/>
    <w:rsid w:val="004C3364"/>
    <w:rsid w:val="004C3EA0"/>
    <w:rsid w:val="004C4116"/>
    <w:rsid w:val="004C518A"/>
    <w:rsid w:val="004C5D95"/>
    <w:rsid w:val="004C6A06"/>
    <w:rsid w:val="004C731F"/>
    <w:rsid w:val="004C77F4"/>
    <w:rsid w:val="004D0580"/>
    <w:rsid w:val="004D1017"/>
    <w:rsid w:val="004D1E7B"/>
    <w:rsid w:val="004D3869"/>
    <w:rsid w:val="004D3E03"/>
    <w:rsid w:val="004D6C4F"/>
    <w:rsid w:val="004D739E"/>
    <w:rsid w:val="004E0DE3"/>
    <w:rsid w:val="004E116C"/>
    <w:rsid w:val="004E1517"/>
    <w:rsid w:val="004E1A9C"/>
    <w:rsid w:val="004E4E9A"/>
    <w:rsid w:val="004E58CA"/>
    <w:rsid w:val="004E6694"/>
    <w:rsid w:val="004E7B8A"/>
    <w:rsid w:val="004F0A7B"/>
    <w:rsid w:val="004F4010"/>
    <w:rsid w:val="005006CA"/>
    <w:rsid w:val="005006DB"/>
    <w:rsid w:val="00500858"/>
    <w:rsid w:val="0050101A"/>
    <w:rsid w:val="00501C3F"/>
    <w:rsid w:val="00502A0C"/>
    <w:rsid w:val="005050F6"/>
    <w:rsid w:val="00505FB5"/>
    <w:rsid w:val="005061B1"/>
    <w:rsid w:val="00506680"/>
    <w:rsid w:val="00507287"/>
    <w:rsid w:val="00510918"/>
    <w:rsid w:val="00510C87"/>
    <w:rsid w:val="005111B7"/>
    <w:rsid w:val="005113A4"/>
    <w:rsid w:val="005127D5"/>
    <w:rsid w:val="005137A6"/>
    <w:rsid w:val="00514458"/>
    <w:rsid w:val="005145F0"/>
    <w:rsid w:val="00514739"/>
    <w:rsid w:val="00514E99"/>
    <w:rsid w:val="00514F9B"/>
    <w:rsid w:val="0051598E"/>
    <w:rsid w:val="00515EF0"/>
    <w:rsid w:val="00517D22"/>
    <w:rsid w:val="00520158"/>
    <w:rsid w:val="0052071F"/>
    <w:rsid w:val="00520EC8"/>
    <w:rsid w:val="0052161D"/>
    <w:rsid w:val="00522CEE"/>
    <w:rsid w:val="00523339"/>
    <w:rsid w:val="00523459"/>
    <w:rsid w:val="00523913"/>
    <w:rsid w:val="005247ED"/>
    <w:rsid w:val="00524B24"/>
    <w:rsid w:val="00524EC3"/>
    <w:rsid w:val="00525225"/>
    <w:rsid w:val="005255BE"/>
    <w:rsid w:val="005262B1"/>
    <w:rsid w:val="0052635D"/>
    <w:rsid w:val="00526CDF"/>
    <w:rsid w:val="00527519"/>
    <w:rsid w:val="00532115"/>
    <w:rsid w:val="00533774"/>
    <w:rsid w:val="00533AEB"/>
    <w:rsid w:val="00533D2F"/>
    <w:rsid w:val="00534495"/>
    <w:rsid w:val="00534B5A"/>
    <w:rsid w:val="00541683"/>
    <w:rsid w:val="00541AE6"/>
    <w:rsid w:val="00541D3A"/>
    <w:rsid w:val="00544837"/>
    <w:rsid w:val="005450E3"/>
    <w:rsid w:val="0054511B"/>
    <w:rsid w:val="005451A6"/>
    <w:rsid w:val="0054534D"/>
    <w:rsid w:val="00547401"/>
    <w:rsid w:val="0055167D"/>
    <w:rsid w:val="00553654"/>
    <w:rsid w:val="0055434B"/>
    <w:rsid w:val="00554C91"/>
    <w:rsid w:val="0055541C"/>
    <w:rsid w:val="00555B1D"/>
    <w:rsid w:val="00557E8E"/>
    <w:rsid w:val="005604A8"/>
    <w:rsid w:val="00560955"/>
    <w:rsid w:val="0056343B"/>
    <w:rsid w:val="00563ACC"/>
    <w:rsid w:val="00563C2A"/>
    <w:rsid w:val="0056518C"/>
    <w:rsid w:val="0056662B"/>
    <w:rsid w:val="005669B9"/>
    <w:rsid w:val="00566F8E"/>
    <w:rsid w:val="00567E40"/>
    <w:rsid w:val="00567E44"/>
    <w:rsid w:val="00571396"/>
    <w:rsid w:val="00575985"/>
    <w:rsid w:val="0057684E"/>
    <w:rsid w:val="00577C90"/>
    <w:rsid w:val="005800DD"/>
    <w:rsid w:val="0058058B"/>
    <w:rsid w:val="00580D93"/>
    <w:rsid w:val="00581164"/>
    <w:rsid w:val="0058294D"/>
    <w:rsid w:val="00582B81"/>
    <w:rsid w:val="005845D1"/>
    <w:rsid w:val="00584CA6"/>
    <w:rsid w:val="0058533A"/>
    <w:rsid w:val="00587CE4"/>
    <w:rsid w:val="0059028D"/>
    <w:rsid w:val="00590E0F"/>
    <w:rsid w:val="00593964"/>
    <w:rsid w:val="00593A3D"/>
    <w:rsid w:val="00593F54"/>
    <w:rsid w:val="00594312"/>
    <w:rsid w:val="00594B9D"/>
    <w:rsid w:val="00596942"/>
    <w:rsid w:val="00596D7E"/>
    <w:rsid w:val="00596DC7"/>
    <w:rsid w:val="0059749F"/>
    <w:rsid w:val="005975A7"/>
    <w:rsid w:val="00597F17"/>
    <w:rsid w:val="00597F75"/>
    <w:rsid w:val="005A0F14"/>
    <w:rsid w:val="005A3413"/>
    <w:rsid w:val="005A52B5"/>
    <w:rsid w:val="005A67C7"/>
    <w:rsid w:val="005A7FB2"/>
    <w:rsid w:val="005B0C1D"/>
    <w:rsid w:val="005B17E3"/>
    <w:rsid w:val="005B274C"/>
    <w:rsid w:val="005B2FA9"/>
    <w:rsid w:val="005B3B68"/>
    <w:rsid w:val="005B3BF7"/>
    <w:rsid w:val="005B4E25"/>
    <w:rsid w:val="005B649A"/>
    <w:rsid w:val="005B7832"/>
    <w:rsid w:val="005C0205"/>
    <w:rsid w:val="005C0E35"/>
    <w:rsid w:val="005C11DE"/>
    <w:rsid w:val="005C385B"/>
    <w:rsid w:val="005C39C3"/>
    <w:rsid w:val="005C428E"/>
    <w:rsid w:val="005C4D8B"/>
    <w:rsid w:val="005C5466"/>
    <w:rsid w:val="005C59D9"/>
    <w:rsid w:val="005C6A82"/>
    <w:rsid w:val="005C76B3"/>
    <w:rsid w:val="005C7DE8"/>
    <w:rsid w:val="005D0A3B"/>
    <w:rsid w:val="005D19F6"/>
    <w:rsid w:val="005D29E5"/>
    <w:rsid w:val="005D2E77"/>
    <w:rsid w:val="005D4DDD"/>
    <w:rsid w:val="005D59B8"/>
    <w:rsid w:val="005D7692"/>
    <w:rsid w:val="005E05E7"/>
    <w:rsid w:val="005E090F"/>
    <w:rsid w:val="005E0B3E"/>
    <w:rsid w:val="005E0C0D"/>
    <w:rsid w:val="005E1019"/>
    <w:rsid w:val="005E11A8"/>
    <w:rsid w:val="005E2CFE"/>
    <w:rsid w:val="005E3A6C"/>
    <w:rsid w:val="005E3B41"/>
    <w:rsid w:val="005E4016"/>
    <w:rsid w:val="005E449E"/>
    <w:rsid w:val="005E4669"/>
    <w:rsid w:val="005E523A"/>
    <w:rsid w:val="005E535E"/>
    <w:rsid w:val="005E56F9"/>
    <w:rsid w:val="005E75E9"/>
    <w:rsid w:val="005E774D"/>
    <w:rsid w:val="005E7D1D"/>
    <w:rsid w:val="005F3A3F"/>
    <w:rsid w:val="005F4E86"/>
    <w:rsid w:val="005F62B6"/>
    <w:rsid w:val="005F64E8"/>
    <w:rsid w:val="005F658C"/>
    <w:rsid w:val="005F6D16"/>
    <w:rsid w:val="005F7DA0"/>
    <w:rsid w:val="006012EF"/>
    <w:rsid w:val="00601359"/>
    <w:rsid w:val="00602E98"/>
    <w:rsid w:val="006052FA"/>
    <w:rsid w:val="006059A1"/>
    <w:rsid w:val="00605A9B"/>
    <w:rsid w:val="00606FBB"/>
    <w:rsid w:val="00607348"/>
    <w:rsid w:val="00607834"/>
    <w:rsid w:val="00607D8F"/>
    <w:rsid w:val="00607DB5"/>
    <w:rsid w:val="00611180"/>
    <w:rsid w:val="00611AE2"/>
    <w:rsid w:val="00611B0D"/>
    <w:rsid w:val="006134F3"/>
    <w:rsid w:val="0061492B"/>
    <w:rsid w:val="00614D91"/>
    <w:rsid w:val="00615D46"/>
    <w:rsid w:val="006176C7"/>
    <w:rsid w:val="00620C02"/>
    <w:rsid w:val="00622A99"/>
    <w:rsid w:val="00623033"/>
    <w:rsid w:val="00623CE6"/>
    <w:rsid w:val="00624377"/>
    <w:rsid w:val="00625328"/>
    <w:rsid w:val="00625C3C"/>
    <w:rsid w:val="00626D3B"/>
    <w:rsid w:val="00626F0C"/>
    <w:rsid w:val="006278DD"/>
    <w:rsid w:val="00630143"/>
    <w:rsid w:val="006301C0"/>
    <w:rsid w:val="006309C4"/>
    <w:rsid w:val="00631024"/>
    <w:rsid w:val="00631243"/>
    <w:rsid w:val="00631853"/>
    <w:rsid w:val="00632C86"/>
    <w:rsid w:val="00632D7B"/>
    <w:rsid w:val="00633366"/>
    <w:rsid w:val="006337C7"/>
    <w:rsid w:val="00633D0D"/>
    <w:rsid w:val="006347EE"/>
    <w:rsid w:val="00634FAE"/>
    <w:rsid w:val="0063568D"/>
    <w:rsid w:val="00636E2B"/>
    <w:rsid w:val="00636EF0"/>
    <w:rsid w:val="00637003"/>
    <w:rsid w:val="0063714B"/>
    <w:rsid w:val="0063769E"/>
    <w:rsid w:val="00637904"/>
    <w:rsid w:val="00640AE2"/>
    <w:rsid w:val="006457D2"/>
    <w:rsid w:val="00646BDB"/>
    <w:rsid w:val="00647D52"/>
    <w:rsid w:val="0065014C"/>
    <w:rsid w:val="0065038C"/>
    <w:rsid w:val="0065069C"/>
    <w:rsid w:val="00651C4C"/>
    <w:rsid w:val="00653218"/>
    <w:rsid w:val="00653B63"/>
    <w:rsid w:val="00653FD7"/>
    <w:rsid w:val="00654050"/>
    <w:rsid w:val="0065535B"/>
    <w:rsid w:val="00655EC9"/>
    <w:rsid w:val="006565BB"/>
    <w:rsid w:val="00656848"/>
    <w:rsid w:val="0066047F"/>
    <w:rsid w:val="00660974"/>
    <w:rsid w:val="00660A85"/>
    <w:rsid w:val="00661693"/>
    <w:rsid w:val="00664B91"/>
    <w:rsid w:val="00665F24"/>
    <w:rsid w:val="00667321"/>
    <w:rsid w:val="006673A4"/>
    <w:rsid w:val="00667C7E"/>
    <w:rsid w:val="0067094B"/>
    <w:rsid w:val="00671801"/>
    <w:rsid w:val="00675ED6"/>
    <w:rsid w:val="0068136E"/>
    <w:rsid w:val="006831BE"/>
    <w:rsid w:val="00683799"/>
    <w:rsid w:val="006844C9"/>
    <w:rsid w:val="006851C1"/>
    <w:rsid w:val="006854C9"/>
    <w:rsid w:val="00685A98"/>
    <w:rsid w:val="00686A1F"/>
    <w:rsid w:val="00686F75"/>
    <w:rsid w:val="00690721"/>
    <w:rsid w:val="00690A4E"/>
    <w:rsid w:val="00690E7B"/>
    <w:rsid w:val="006911EC"/>
    <w:rsid w:val="0069129C"/>
    <w:rsid w:val="00692906"/>
    <w:rsid w:val="00695064"/>
    <w:rsid w:val="00695480"/>
    <w:rsid w:val="006962E3"/>
    <w:rsid w:val="006968AB"/>
    <w:rsid w:val="00697B65"/>
    <w:rsid w:val="00697B6C"/>
    <w:rsid w:val="00697C70"/>
    <w:rsid w:val="006A1771"/>
    <w:rsid w:val="006A1A65"/>
    <w:rsid w:val="006A42E9"/>
    <w:rsid w:val="006A65B0"/>
    <w:rsid w:val="006A6C0F"/>
    <w:rsid w:val="006A734D"/>
    <w:rsid w:val="006B055A"/>
    <w:rsid w:val="006B0755"/>
    <w:rsid w:val="006B0A14"/>
    <w:rsid w:val="006B1E55"/>
    <w:rsid w:val="006B351B"/>
    <w:rsid w:val="006B37B9"/>
    <w:rsid w:val="006B4802"/>
    <w:rsid w:val="006B6425"/>
    <w:rsid w:val="006C3C0D"/>
    <w:rsid w:val="006C483E"/>
    <w:rsid w:val="006C4EE8"/>
    <w:rsid w:val="006C4F08"/>
    <w:rsid w:val="006C61E6"/>
    <w:rsid w:val="006C69E5"/>
    <w:rsid w:val="006C6E99"/>
    <w:rsid w:val="006C7166"/>
    <w:rsid w:val="006C7405"/>
    <w:rsid w:val="006C79E7"/>
    <w:rsid w:val="006C7B84"/>
    <w:rsid w:val="006C7BAD"/>
    <w:rsid w:val="006C7DD1"/>
    <w:rsid w:val="006D0CFE"/>
    <w:rsid w:val="006D0EA2"/>
    <w:rsid w:val="006D20E9"/>
    <w:rsid w:val="006D2BEC"/>
    <w:rsid w:val="006D2FAA"/>
    <w:rsid w:val="006D3310"/>
    <w:rsid w:val="006D4812"/>
    <w:rsid w:val="006D5408"/>
    <w:rsid w:val="006D5B4D"/>
    <w:rsid w:val="006D5CF1"/>
    <w:rsid w:val="006E09B9"/>
    <w:rsid w:val="006E381D"/>
    <w:rsid w:val="006E420C"/>
    <w:rsid w:val="006E4392"/>
    <w:rsid w:val="006E4F37"/>
    <w:rsid w:val="006E670D"/>
    <w:rsid w:val="006F1941"/>
    <w:rsid w:val="006F197B"/>
    <w:rsid w:val="006F19D1"/>
    <w:rsid w:val="006F1A86"/>
    <w:rsid w:val="006F2085"/>
    <w:rsid w:val="006F295D"/>
    <w:rsid w:val="006F4EB9"/>
    <w:rsid w:val="006F5CC5"/>
    <w:rsid w:val="006F728E"/>
    <w:rsid w:val="006F7371"/>
    <w:rsid w:val="006F77BE"/>
    <w:rsid w:val="006F78AB"/>
    <w:rsid w:val="007026E8"/>
    <w:rsid w:val="00703832"/>
    <w:rsid w:val="0070384E"/>
    <w:rsid w:val="00704B2E"/>
    <w:rsid w:val="00705BB7"/>
    <w:rsid w:val="00706050"/>
    <w:rsid w:val="00706F74"/>
    <w:rsid w:val="00707760"/>
    <w:rsid w:val="00710D66"/>
    <w:rsid w:val="0071105C"/>
    <w:rsid w:val="00712B85"/>
    <w:rsid w:val="0071318C"/>
    <w:rsid w:val="00713624"/>
    <w:rsid w:val="00713E42"/>
    <w:rsid w:val="007140E4"/>
    <w:rsid w:val="00714662"/>
    <w:rsid w:val="0071524E"/>
    <w:rsid w:val="0071754E"/>
    <w:rsid w:val="00717729"/>
    <w:rsid w:val="00720A3D"/>
    <w:rsid w:val="007217A3"/>
    <w:rsid w:val="00722746"/>
    <w:rsid w:val="00722A3A"/>
    <w:rsid w:val="00722B29"/>
    <w:rsid w:val="007232CA"/>
    <w:rsid w:val="00723652"/>
    <w:rsid w:val="0072405D"/>
    <w:rsid w:val="00724867"/>
    <w:rsid w:val="007249E0"/>
    <w:rsid w:val="00730264"/>
    <w:rsid w:val="0073142B"/>
    <w:rsid w:val="00731B11"/>
    <w:rsid w:val="0073273F"/>
    <w:rsid w:val="00732A98"/>
    <w:rsid w:val="00732F5A"/>
    <w:rsid w:val="0073339B"/>
    <w:rsid w:val="00733486"/>
    <w:rsid w:val="00734A0E"/>
    <w:rsid w:val="00735236"/>
    <w:rsid w:val="007352E4"/>
    <w:rsid w:val="00735CA5"/>
    <w:rsid w:val="00735F51"/>
    <w:rsid w:val="0073602E"/>
    <w:rsid w:val="00736B47"/>
    <w:rsid w:val="00737926"/>
    <w:rsid w:val="00737DD8"/>
    <w:rsid w:val="00740D6E"/>
    <w:rsid w:val="007412BD"/>
    <w:rsid w:val="00741D84"/>
    <w:rsid w:val="00743002"/>
    <w:rsid w:val="007448E9"/>
    <w:rsid w:val="00744A1E"/>
    <w:rsid w:val="00745634"/>
    <w:rsid w:val="00746339"/>
    <w:rsid w:val="00747E4F"/>
    <w:rsid w:val="00750984"/>
    <w:rsid w:val="00750B02"/>
    <w:rsid w:val="00750FE9"/>
    <w:rsid w:val="0075219B"/>
    <w:rsid w:val="00752B30"/>
    <w:rsid w:val="00753126"/>
    <w:rsid w:val="007532AB"/>
    <w:rsid w:val="0075429C"/>
    <w:rsid w:val="00754724"/>
    <w:rsid w:val="00754B3C"/>
    <w:rsid w:val="00754E9E"/>
    <w:rsid w:val="00756B7A"/>
    <w:rsid w:val="0075785A"/>
    <w:rsid w:val="00760201"/>
    <w:rsid w:val="0076146A"/>
    <w:rsid w:val="00761E46"/>
    <w:rsid w:val="00762E88"/>
    <w:rsid w:val="00765106"/>
    <w:rsid w:val="00765120"/>
    <w:rsid w:val="0076523F"/>
    <w:rsid w:val="007676E7"/>
    <w:rsid w:val="00770EEA"/>
    <w:rsid w:val="00771580"/>
    <w:rsid w:val="00771F4A"/>
    <w:rsid w:val="007749B6"/>
    <w:rsid w:val="00774A91"/>
    <w:rsid w:val="0077508E"/>
    <w:rsid w:val="007759E3"/>
    <w:rsid w:val="00775CE9"/>
    <w:rsid w:val="0077667E"/>
    <w:rsid w:val="00776729"/>
    <w:rsid w:val="00776D8E"/>
    <w:rsid w:val="007800E6"/>
    <w:rsid w:val="00781DB3"/>
    <w:rsid w:val="00782A8A"/>
    <w:rsid w:val="00782BF4"/>
    <w:rsid w:val="00782C04"/>
    <w:rsid w:val="00782D1A"/>
    <w:rsid w:val="00783771"/>
    <w:rsid w:val="00784EB4"/>
    <w:rsid w:val="00785B7A"/>
    <w:rsid w:val="00786430"/>
    <w:rsid w:val="00787DBC"/>
    <w:rsid w:val="007911A7"/>
    <w:rsid w:val="00791793"/>
    <w:rsid w:val="00791805"/>
    <w:rsid w:val="007918CC"/>
    <w:rsid w:val="007929D5"/>
    <w:rsid w:val="0079376D"/>
    <w:rsid w:val="007938D5"/>
    <w:rsid w:val="007944E5"/>
    <w:rsid w:val="00794D45"/>
    <w:rsid w:val="00796F84"/>
    <w:rsid w:val="00797445"/>
    <w:rsid w:val="007A03C4"/>
    <w:rsid w:val="007A0845"/>
    <w:rsid w:val="007A23A1"/>
    <w:rsid w:val="007A3B81"/>
    <w:rsid w:val="007A3CA2"/>
    <w:rsid w:val="007A4661"/>
    <w:rsid w:val="007A4F45"/>
    <w:rsid w:val="007B0C62"/>
    <w:rsid w:val="007B10D8"/>
    <w:rsid w:val="007B1390"/>
    <w:rsid w:val="007B15EB"/>
    <w:rsid w:val="007B17F2"/>
    <w:rsid w:val="007B20F7"/>
    <w:rsid w:val="007B2A1C"/>
    <w:rsid w:val="007B2CB5"/>
    <w:rsid w:val="007B3B73"/>
    <w:rsid w:val="007B3EFC"/>
    <w:rsid w:val="007B47C0"/>
    <w:rsid w:val="007B5645"/>
    <w:rsid w:val="007B5997"/>
    <w:rsid w:val="007B6104"/>
    <w:rsid w:val="007B79F8"/>
    <w:rsid w:val="007C00AF"/>
    <w:rsid w:val="007C424D"/>
    <w:rsid w:val="007C552D"/>
    <w:rsid w:val="007C5644"/>
    <w:rsid w:val="007C5BF0"/>
    <w:rsid w:val="007C6061"/>
    <w:rsid w:val="007D053E"/>
    <w:rsid w:val="007D2153"/>
    <w:rsid w:val="007D2DBA"/>
    <w:rsid w:val="007D319B"/>
    <w:rsid w:val="007D40D8"/>
    <w:rsid w:val="007D4971"/>
    <w:rsid w:val="007D529E"/>
    <w:rsid w:val="007D5E17"/>
    <w:rsid w:val="007D6BD8"/>
    <w:rsid w:val="007D6D96"/>
    <w:rsid w:val="007E003A"/>
    <w:rsid w:val="007E0603"/>
    <w:rsid w:val="007E0AF8"/>
    <w:rsid w:val="007E0F59"/>
    <w:rsid w:val="007E230E"/>
    <w:rsid w:val="007E319F"/>
    <w:rsid w:val="007E451D"/>
    <w:rsid w:val="007E49D5"/>
    <w:rsid w:val="007E713D"/>
    <w:rsid w:val="007F09E0"/>
    <w:rsid w:val="007F0FEA"/>
    <w:rsid w:val="007F1489"/>
    <w:rsid w:val="007F2AFE"/>
    <w:rsid w:val="007F3061"/>
    <w:rsid w:val="007F371E"/>
    <w:rsid w:val="007F3889"/>
    <w:rsid w:val="007F421A"/>
    <w:rsid w:val="007F4870"/>
    <w:rsid w:val="007F5119"/>
    <w:rsid w:val="007F5950"/>
    <w:rsid w:val="007F5A76"/>
    <w:rsid w:val="007F7F2E"/>
    <w:rsid w:val="00800285"/>
    <w:rsid w:val="00802DED"/>
    <w:rsid w:val="0080427A"/>
    <w:rsid w:val="00805487"/>
    <w:rsid w:val="00806322"/>
    <w:rsid w:val="00810544"/>
    <w:rsid w:val="00811951"/>
    <w:rsid w:val="00811A75"/>
    <w:rsid w:val="00813F5C"/>
    <w:rsid w:val="008145F6"/>
    <w:rsid w:val="0081717D"/>
    <w:rsid w:val="00820514"/>
    <w:rsid w:val="0082097F"/>
    <w:rsid w:val="00820F4D"/>
    <w:rsid w:val="00821B86"/>
    <w:rsid w:val="00822F1D"/>
    <w:rsid w:val="00823060"/>
    <w:rsid w:val="00823777"/>
    <w:rsid w:val="00824610"/>
    <w:rsid w:val="00825987"/>
    <w:rsid w:val="00826AFF"/>
    <w:rsid w:val="008277AA"/>
    <w:rsid w:val="0083016C"/>
    <w:rsid w:val="008302FB"/>
    <w:rsid w:val="00833528"/>
    <w:rsid w:val="00833B04"/>
    <w:rsid w:val="00835396"/>
    <w:rsid w:val="00835433"/>
    <w:rsid w:val="00835913"/>
    <w:rsid w:val="0083682A"/>
    <w:rsid w:val="0083772F"/>
    <w:rsid w:val="00837CD7"/>
    <w:rsid w:val="00840BDA"/>
    <w:rsid w:val="00842278"/>
    <w:rsid w:val="008428E0"/>
    <w:rsid w:val="00843436"/>
    <w:rsid w:val="00844517"/>
    <w:rsid w:val="008445D4"/>
    <w:rsid w:val="00844793"/>
    <w:rsid w:val="00844974"/>
    <w:rsid w:val="00844A30"/>
    <w:rsid w:val="00844AAD"/>
    <w:rsid w:val="00845419"/>
    <w:rsid w:val="0085174D"/>
    <w:rsid w:val="0085192C"/>
    <w:rsid w:val="00852469"/>
    <w:rsid w:val="00852952"/>
    <w:rsid w:val="00853203"/>
    <w:rsid w:val="00853453"/>
    <w:rsid w:val="00853574"/>
    <w:rsid w:val="0085386A"/>
    <w:rsid w:val="0085403D"/>
    <w:rsid w:val="008549A8"/>
    <w:rsid w:val="00854A14"/>
    <w:rsid w:val="00854B71"/>
    <w:rsid w:val="00860289"/>
    <w:rsid w:val="008611E8"/>
    <w:rsid w:val="008645D0"/>
    <w:rsid w:val="00864AA9"/>
    <w:rsid w:val="00865156"/>
    <w:rsid w:val="008651E1"/>
    <w:rsid w:val="00866632"/>
    <w:rsid w:val="008669EB"/>
    <w:rsid w:val="00866BD0"/>
    <w:rsid w:val="008672E2"/>
    <w:rsid w:val="00870064"/>
    <w:rsid w:val="00870317"/>
    <w:rsid w:val="008704C4"/>
    <w:rsid w:val="008704DF"/>
    <w:rsid w:val="0087089C"/>
    <w:rsid w:val="008710AA"/>
    <w:rsid w:val="008717C6"/>
    <w:rsid w:val="0087247E"/>
    <w:rsid w:val="0087297E"/>
    <w:rsid w:val="0087375B"/>
    <w:rsid w:val="00874279"/>
    <w:rsid w:val="0087445D"/>
    <w:rsid w:val="00874FB9"/>
    <w:rsid w:val="008755FE"/>
    <w:rsid w:val="00877597"/>
    <w:rsid w:val="00880232"/>
    <w:rsid w:val="00881142"/>
    <w:rsid w:val="00881144"/>
    <w:rsid w:val="0088137F"/>
    <w:rsid w:val="00881502"/>
    <w:rsid w:val="00881512"/>
    <w:rsid w:val="00882C94"/>
    <w:rsid w:val="008830E3"/>
    <w:rsid w:val="008831D1"/>
    <w:rsid w:val="00884083"/>
    <w:rsid w:val="00884097"/>
    <w:rsid w:val="00884652"/>
    <w:rsid w:val="00884A60"/>
    <w:rsid w:val="00884B58"/>
    <w:rsid w:val="0088505E"/>
    <w:rsid w:val="008855A0"/>
    <w:rsid w:val="00891065"/>
    <w:rsid w:val="008914B4"/>
    <w:rsid w:val="00891679"/>
    <w:rsid w:val="00891A78"/>
    <w:rsid w:val="00891C48"/>
    <w:rsid w:val="008924DF"/>
    <w:rsid w:val="00892BD9"/>
    <w:rsid w:val="0089409E"/>
    <w:rsid w:val="008942B1"/>
    <w:rsid w:val="008948A8"/>
    <w:rsid w:val="00894A3B"/>
    <w:rsid w:val="00894BCA"/>
    <w:rsid w:val="0089576B"/>
    <w:rsid w:val="0089663C"/>
    <w:rsid w:val="0089746C"/>
    <w:rsid w:val="00897FF5"/>
    <w:rsid w:val="008A06E0"/>
    <w:rsid w:val="008A0F9E"/>
    <w:rsid w:val="008A22DB"/>
    <w:rsid w:val="008A2F6E"/>
    <w:rsid w:val="008A3C27"/>
    <w:rsid w:val="008A4208"/>
    <w:rsid w:val="008A47FF"/>
    <w:rsid w:val="008A4D99"/>
    <w:rsid w:val="008A4DE8"/>
    <w:rsid w:val="008A5014"/>
    <w:rsid w:val="008A58DD"/>
    <w:rsid w:val="008A5A0D"/>
    <w:rsid w:val="008A5B30"/>
    <w:rsid w:val="008A6046"/>
    <w:rsid w:val="008A7389"/>
    <w:rsid w:val="008A77C7"/>
    <w:rsid w:val="008B15D4"/>
    <w:rsid w:val="008B2D35"/>
    <w:rsid w:val="008B32E6"/>
    <w:rsid w:val="008B3B86"/>
    <w:rsid w:val="008B4201"/>
    <w:rsid w:val="008B464F"/>
    <w:rsid w:val="008B4E04"/>
    <w:rsid w:val="008B680E"/>
    <w:rsid w:val="008B6B2C"/>
    <w:rsid w:val="008B6CE7"/>
    <w:rsid w:val="008B6DEE"/>
    <w:rsid w:val="008C09BE"/>
    <w:rsid w:val="008C1427"/>
    <w:rsid w:val="008C1C17"/>
    <w:rsid w:val="008C1E3C"/>
    <w:rsid w:val="008C2572"/>
    <w:rsid w:val="008C25E6"/>
    <w:rsid w:val="008C28E3"/>
    <w:rsid w:val="008C2F3A"/>
    <w:rsid w:val="008C2FCF"/>
    <w:rsid w:val="008C3B20"/>
    <w:rsid w:val="008C489C"/>
    <w:rsid w:val="008C4C5F"/>
    <w:rsid w:val="008C4CE2"/>
    <w:rsid w:val="008C5AC8"/>
    <w:rsid w:val="008C6105"/>
    <w:rsid w:val="008C767E"/>
    <w:rsid w:val="008C7AF9"/>
    <w:rsid w:val="008D0A96"/>
    <w:rsid w:val="008D113B"/>
    <w:rsid w:val="008D146C"/>
    <w:rsid w:val="008D1B93"/>
    <w:rsid w:val="008D3E45"/>
    <w:rsid w:val="008D450A"/>
    <w:rsid w:val="008D4D29"/>
    <w:rsid w:val="008D6D79"/>
    <w:rsid w:val="008E118F"/>
    <w:rsid w:val="008E4168"/>
    <w:rsid w:val="008E4938"/>
    <w:rsid w:val="008E4D18"/>
    <w:rsid w:val="008E606D"/>
    <w:rsid w:val="008E6744"/>
    <w:rsid w:val="008E6A86"/>
    <w:rsid w:val="008F2213"/>
    <w:rsid w:val="008F2914"/>
    <w:rsid w:val="008F3D20"/>
    <w:rsid w:val="008F4936"/>
    <w:rsid w:val="008F497E"/>
    <w:rsid w:val="008F5542"/>
    <w:rsid w:val="008F5C2F"/>
    <w:rsid w:val="008F6D9E"/>
    <w:rsid w:val="008F701F"/>
    <w:rsid w:val="0090040F"/>
    <w:rsid w:val="00902935"/>
    <w:rsid w:val="00902A32"/>
    <w:rsid w:val="00904C5A"/>
    <w:rsid w:val="0090511D"/>
    <w:rsid w:val="00905E21"/>
    <w:rsid w:val="0090626F"/>
    <w:rsid w:val="00910216"/>
    <w:rsid w:val="00910F5A"/>
    <w:rsid w:val="009112B8"/>
    <w:rsid w:val="00912420"/>
    <w:rsid w:val="00913A5E"/>
    <w:rsid w:val="009140A1"/>
    <w:rsid w:val="0091473D"/>
    <w:rsid w:val="009152A6"/>
    <w:rsid w:val="00915714"/>
    <w:rsid w:val="00916708"/>
    <w:rsid w:val="00916D21"/>
    <w:rsid w:val="009173B7"/>
    <w:rsid w:val="00917DDC"/>
    <w:rsid w:val="00920039"/>
    <w:rsid w:val="00920877"/>
    <w:rsid w:val="009210D0"/>
    <w:rsid w:val="00922273"/>
    <w:rsid w:val="00923CF7"/>
    <w:rsid w:val="00924209"/>
    <w:rsid w:val="00924409"/>
    <w:rsid w:val="00924D47"/>
    <w:rsid w:val="009262EE"/>
    <w:rsid w:val="00926523"/>
    <w:rsid w:val="00926D5E"/>
    <w:rsid w:val="00927254"/>
    <w:rsid w:val="0092748D"/>
    <w:rsid w:val="009307B2"/>
    <w:rsid w:val="009311A6"/>
    <w:rsid w:val="00931440"/>
    <w:rsid w:val="00931A37"/>
    <w:rsid w:val="0093219B"/>
    <w:rsid w:val="009345A2"/>
    <w:rsid w:val="00935380"/>
    <w:rsid w:val="009373D5"/>
    <w:rsid w:val="0093752A"/>
    <w:rsid w:val="00937DF4"/>
    <w:rsid w:val="00940B2F"/>
    <w:rsid w:val="00940E28"/>
    <w:rsid w:val="00941623"/>
    <w:rsid w:val="00943080"/>
    <w:rsid w:val="00943CCC"/>
    <w:rsid w:val="0094438A"/>
    <w:rsid w:val="00944465"/>
    <w:rsid w:val="009452A8"/>
    <w:rsid w:val="00945BFD"/>
    <w:rsid w:val="0094738D"/>
    <w:rsid w:val="00947BDA"/>
    <w:rsid w:val="0095137E"/>
    <w:rsid w:val="00952386"/>
    <w:rsid w:val="00952CAA"/>
    <w:rsid w:val="00955651"/>
    <w:rsid w:val="00956A90"/>
    <w:rsid w:val="00960480"/>
    <w:rsid w:val="00960A79"/>
    <w:rsid w:val="00962077"/>
    <w:rsid w:val="009622C3"/>
    <w:rsid w:val="00962AA7"/>
    <w:rsid w:val="00962F08"/>
    <w:rsid w:val="009631C9"/>
    <w:rsid w:val="009663E5"/>
    <w:rsid w:val="00967228"/>
    <w:rsid w:val="00970359"/>
    <w:rsid w:val="0097149E"/>
    <w:rsid w:val="00971912"/>
    <w:rsid w:val="00972B3B"/>
    <w:rsid w:val="00973311"/>
    <w:rsid w:val="00973F74"/>
    <w:rsid w:val="0097402D"/>
    <w:rsid w:val="009740CC"/>
    <w:rsid w:val="00974557"/>
    <w:rsid w:val="00976BC6"/>
    <w:rsid w:val="00976EFA"/>
    <w:rsid w:val="00976F00"/>
    <w:rsid w:val="0097739C"/>
    <w:rsid w:val="009773A6"/>
    <w:rsid w:val="00977C69"/>
    <w:rsid w:val="009805D5"/>
    <w:rsid w:val="00981735"/>
    <w:rsid w:val="0098214B"/>
    <w:rsid w:val="00983CE1"/>
    <w:rsid w:val="00985510"/>
    <w:rsid w:val="0098770C"/>
    <w:rsid w:val="00987E0C"/>
    <w:rsid w:val="00991401"/>
    <w:rsid w:val="00993147"/>
    <w:rsid w:val="0099344A"/>
    <w:rsid w:val="00993CD9"/>
    <w:rsid w:val="00994B8C"/>
    <w:rsid w:val="00995C71"/>
    <w:rsid w:val="009A0921"/>
    <w:rsid w:val="009A10A7"/>
    <w:rsid w:val="009A11E4"/>
    <w:rsid w:val="009A1A7A"/>
    <w:rsid w:val="009A235F"/>
    <w:rsid w:val="009A24D2"/>
    <w:rsid w:val="009A256D"/>
    <w:rsid w:val="009A3987"/>
    <w:rsid w:val="009A3DF0"/>
    <w:rsid w:val="009A512C"/>
    <w:rsid w:val="009A587E"/>
    <w:rsid w:val="009A5B43"/>
    <w:rsid w:val="009A5D74"/>
    <w:rsid w:val="009A649D"/>
    <w:rsid w:val="009B05E8"/>
    <w:rsid w:val="009B093D"/>
    <w:rsid w:val="009B0BE8"/>
    <w:rsid w:val="009B1066"/>
    <w:rsid w:val="009B3325"/>
    <w:rsid w:val="009B4546"/>
    <w:rsid w:val="009B6596"/>
    <w:rsid w:val="009C291E"/>
    <w:rsid w:val="009C29C7"/>
    <w:rsid w:val="009C3BDE"/>
    <w:rsid w:val="009C5EC2"/>
    <w:rsid w:val="009C648A"/>
    <w:rsid w:val="009C6558"/>
    <w:rsid w:val="009C655A"/>
    <w:rsid w:val="009C6BAA"/>
    <w:rsid w:val="009D3192"/>
    <w:rsid w:val="009D4CEA"/>
    <w:rsid w:val="009D6D23"/>
    <w:rsid w:val="009E0376"/>
    <w:rsid w:val="009E0E98"/>
    <w:rsid w:val="009E0F5D"/>
    <w:rsid w:val="009E3E43"/>
    <w:rsid w:val="009E3F77"/>
    <w:rsid w:val="009E51EB"/>
    <w:rsid w:val="009E6520"/>
    <w:rsid w:val="009E6C23"/>
    <w:rsid w:val="009E6E87"/>
    <w:rsid w:val="009E77D0"/>
    <w:rsid w:val="009F0544"/>
    <w:rsid w:val="009F0574"/>
    <w:rsid w:val="009F0CC3"/>
    <w:rsid w:val="009F12FB"/>
    <w:rsid w:val="009F27E5"/>
    <w:rsid w:val="009F2870"/>
    <w:rsid w:val="009F28F6"/>
    <w:rsid w:val="009F3290"/>
    <w:rsid w:val="009F3367"/>
    <w:rsid w:val="009F3DA6"/>
    <w:rsid w:val="009F4424"/>
    <w:rsid w:val="009F5DB5"/>
    <w:rsid w:val="009F67F1"/>
    <w:rsid w:val="009F6B3D"/>
    <w:rsid w:val="00A00356"/>
    <w:rsid w:val="00A003DA"/>
    <w:rsid w:val="00A01135"/>
    <w:rsid w:val="00A01A90"/>
    <w:rsid w:val="00A0233D"/>
    <w:rsid w:val="00A03C40"/>
    <w:rsid w:val="00A04D4C"/>
    <w:rsid w:val="00A06ACE"/>
    <w:rsid w:val="00A1173A"/>
    <w:rsid w:val="00A1240A"/>
    <w:rsid w:val="00A12566"/>
    <w:rsid w:val="00A14935"/>
    <w:rsid w:val="00A15CAA"/>
    <w:rsid w:val="00A16245"/>
    <w:rsid w:val="00A17218"/>
    <w:rsid w:val="00A17A02"/>
    <w:rsid w:val="00A17E0D"/>
    <w:rsid w:val="00A20CA9"/>
    <w:rsid w:val="00A2217C"/>
    <w:rsid w:val="00A2281C"/>
    <w:rsid w:val="00A263B5"/>
    <w:rsid w:val="00A266DF"/>
    <w:rsid w:val="00A26908"/>
    <w:rsid w:val="00A26E92"/>
    <w:rsid w:val="00A27E86"/>
    <w:rsid w:val="00A304B9"/>
    <w:rsid w:val="00A330D0"/>
    <w:rsid w:val="00A33914"/>
    <w:rsid w:val="00A34132"/>
    <w:rsid w:val="00A364E9"/>
    <w:rsid w:val="00A37255"/>
    <w:rsid w:val="00A379CE"/>
    <w:rsid w:val="00A40B4E"/>
    <w:rsid w:val="00A43C53"/>
    <w:rsid w:val="00A43CC9"/>
    <w:rsid w:val="00A453E8"/>
    <w:rsid w:val="00A4547F"/>
    <w:rsid w:val="00A478B6"/>
    <w:rsid w:val="00A50AD2"/>
    <w:rsid w:val="00A51B4F"/>
    <w:rsid w:val="00A5239F"/>
    <w:rsid w:val="00A5333C"/>
    <w:rsid w:val="00A53761"/>
    <w:rsid w:val="00A53AEB"/>
    <w:rsid w:val="00A5574C"/>
    <w:rsid w:val="00A55BA1"/>
    <w:rsid w:val="00A57111"/>
    <w:rsid w:val="00A573D7"/>
    <w:rsid w:val="00A6021D"/>
    <w:rsid w:val="00A612A3"/>
    <w:rsid w:val="00A61911"/>
    <w:rsid w:val="00A62689"/>
    <w:rsid w:val="00A62F3C"/>
    <w:rsid w:val="00A62FEE"/>
    <w:rsid w:val="00A6300A"/>
    <w:rsid w:val="00A639AA"/>
    <w:rsid w:val="00A63B50"/>
    <w:rsid w:val="00A63C2D"/>
    <w:rsid w:val="00A64702"/>
    <w:rsid w:val="00A652AA"/>
    <w:rsid w:val="00A66576"/>
    <w:rsid w:val="00A66ED4"/>
    <w:rsid w:val="00A67157"/>
    <w:rsid w:val="00A67CCF"/>
    <w:rsid w:val="00A701DB"/>
    <w:rsid w:val="00A706F7"/>
    <w:rsid w:val="00A719B7"/>
    <w:rsid w:val="00A72166"/>
    <w:rsid w:val="00A74E4C"/>
    <w:rsid w:val="00A755EF"/>
    <w:rsid w:val="00A77535"/>
    <w:rsid w:val="00A77A01"/>
    <w:rsid w:val="00A77D68"/>
    <w:rsid w:val="00A80567"/>
    <w:rsid w:val="00A80B8E"/>
    <w:rsid w:val="00A813F2"/>
    <w:rsid w:val="00A81A02"/>
    <w:rsid w:val="00A82776"/>
    <w:rsid w:val="00A82EC7"/>
    <w:rsid w:val="00A832A3"/>
    <w:rsid w:val="00A836B9"/>
    <w:rsid w:val="00A83D43"/>
    <w:rsid w:val="00A8472B"/>
    <w:rsid w:val="00A84D1A"/>
    <w:rsid w:val="00A86AD7"/>
    <w:rsid w:val="00A87098"/>
    <w:rsid w:val="00A902E3"/>
    <w:rsid w:val="00A91066"/>
    <w:rsid w:val="00A91F7A"/>
    <w:rsid w:val="00A922A0"/>
    <w:rsid w:val="00A925D1"/>
    <w:rsid w:val="00A94EBC"/>
    <w:rsid w:val="00A95CC5"/>
    <w:rsid w:val="00A969F2"/>
    <w:rsid w:val="00A96AD6"/>
    <w:rsid w:val="00A97BC2"/>
    <w:rsid w:val="00AA011C"/>
    <w:rsid w:val="00AA04D4"/>
    <w:rsid w:val="00AA17D6"/>
    <w:rsid w:val="00AA2596"/>
    <w:rsid w:val="00AA2953"/>
    <w:rsid w:val="00AA3840"/>
    <w:rsid w:val="00AA3C15"/>
    <w:rsid w:val="00AA423B"/>
    <w:rsid w:val="00AA4D6F"/>
    <w:rsid w:val="00AA503D"/>
    <w:rsid w:val="00AA5FBD"/>
    <w:rsid w:val="00AB0819"/>
    <w:rsid w:val="00AB11BB"/>
    <w:rsid w:val="00AB12B7"/>
    <w:rsid w:val="00AB1928"/>
    <w:rsid w:val="00AB2989"/>
    <w:rsid w:val="00AB3DAB"/>
    <w:rsid w:val="00AB423E"/>
    <w:rsid w:val="00AB43C2"/>
    <w:rsid w:val="00AB44A8"/>
    <w:rsid w:val="00AB4540"/>
    <w:rsid w:val="00AB4B26"/>
    <w:rsid w:val="00AB4E17"/>
    <w:rsid w:val="00AB55BA"/>
    <w:rsid w:val="00AB6483"/>
    <w:rsid w:val="00AB78E5"/>
    <w:rsid w:val="00AC2410"/>
    <w:rsid w:val="00AC2DF6"/>
    <w:rsid w:val="00AC37F8"/>
    <w:rsid w:val="00AC449F"/>
    <w:rsid w:val="00AC550B"/>
    <w:rsid w:val="00AC6951"/>
    <w:rsid w:val="00AC6A8F"/>
    <w:rsid w:val="00AC79F1"/>
    <w:rsid w:val="00AD34AF"/>
    <w:rsid w:val="00AD3BB5"/>
    <w:rsid w:val="00AD4C3D"/>
    <w:rsid w:val="00AD4C6B"/>
    <w:rsid w:val="00AD5C4F"/>
    <w:rsid w:val="00AD5F27"/>
    <w:rsid w:val="00AD63E6"/>
    <w:rsid w:val="00AD653F"/>
    <w:rsid w:val="00AD6B68"/>
    <w:rsid w:val="00AD774A"/>
    <w:rsid w:val="00AD7804"/>
    <w:rsid w:val="00AE0435"/>
    <w:rsid w:val="00AE1217"/>
    <w:rsid w:val="00AE2340"/>
    <w:rsid w:val="00AE27DC"/>
    <w:rsid w:val="00AE29CC"/>
    <w:rsid w:val="00AE31A0"/>
    <w:rsid w:val="00AE38D5"/>
    <w:rsid w:val="00AE3ECC"/>
    <w:rsid w:val="00AE461C"/>
    <w:rsid w:val="00AE4EB6"/>
    <w:rsid w:val="00AE5DD3"/>
    <w:rsid w:val="00AE64E5"/>
    <w:rsid w:val="00AE7C15"/>
    <w:rsid w:val="00AF0E49"/>
    <w:rsid w:val="00AF135B"/>
    <w:rsid w:val="00AF1BA5"/>
    <w:rsid w:val="00AF1FBD"/>
    <w:rsid w:val="00AF1FE0"/>
    <w:rsid w:val="00AF2E67"/>
    <w:rsid w:val="00AF5C0B"/>
    <w:rsid w:val="00AF606A"/>
    <w:rsid w:val="00AF6AC8"/>
    <w:rsid w:val="00AF6BA0"/>
    <w:rsid w:val="00B008A4"/>
    <w:rsid w:val="00B01197"/>
    <w:rsid w:val="00B032F1"/>
    <w:rsid w:val="00B036B3"/>
    <w:rsid w:val="00B03CF9"/>
    <w:rsid w:val="00B04296"/>
    <w:rsid w:val="00B06040"/>
    <w:rsid w:val="00B07005"/>
    <w:rsid w:val="00B07940"/>
    <w:rsid w:val="00B07F1C"/>
    <w:rsid w:val="00B10233"/>
    <w:rsid w:val="00B1027F"/>
    <w:rsid w:val="00B12B9C"/>
    <w:rsid w:val="00B13349"/>
    <w:rsid w:val="00B13B97"/>
    <w:rsid w:val="00B14278"/>
    <w:rsid w:val="00B1482A"/>
    <w:rsid w:val="00B14AB2"/>
    <w:rsid w:val="00B14AF6"/>
    <w:rsid w:val="00B14FB9"/>
    <w:rsid w:val="00B1553F"/>
    <w:rsid w:val="00B15952"/>
    <w:rsid w:val="00B17039"/>
    <w:rsid w:val="00B1779D"/>
    <w:rsid w:val="00B2228B"/>
    <w:rsid w:val="00B22F9C"/>
    <w:rsid w:val="00B23497"/>
    <w:rsid w:val="00B236DC"/>
    <w:rsid w:val="00B2405F"/>
    <w:rsid w:val="00B24C1A"/>
    <w:rsid w:val="00B24D62"/>
    <w:rsid w:val="00B2582B"/>
    <w:rsid w:val="00B27314"/>
    <w:rsid w:val="00B27B08"/>
    <w:rsid w:val="00B30438"/>
    <w:rsid w:val="00B30CC9"/>
    <w:rsid w:val="00B312EA"/>
    <w:rsid w:val="00B31F22"/>
    <w:rsid w:val="00B33D67"/>
    <w:rsid w:val="00B34E7D"/>
    <w:rsid w:val="00B35232"/>
    <w:rsid w:val="00B35495"/>
    <w:rsid w:val="00B357DA"/>
    <w:rsid w:val="00B36124"/>
    <w:rsid w:val="00B36639"/>
    <w:rsid w:val="00B36721"/>
    <w:rsid w:val="00B40270"/>
    <w:rsid w:val="00B461EF"/>
    <w:rsid w:val="00B51576"/>
    <w:rsid w:val="00B51595"/>
    <w:rsid w:val="00B5252E"/>
    <w:rsid w:val="00B52707"/>
    <w:rsid w:val="00B533E4"/>
    <w:rsid w:val="00B53A92"/>
    <w:rsid w:val="00B53B09"/>
    <w:rsid w:val="00B54B93"/>
    <w:rsid w:val="00B554A1"/>
    <w:rsid w:val="00B55896"/>
    <w:rsid w:val="00B5714D"/>
    <w:rsid w:val="00B57360"/>
    <w:rsid w:val="00B623FE"/>
    <w:rsid w:val="00B62A61"/>
    <w:rsid w:val="00B63F3B"/>
    <w:rsid w:val="00B64C0C"/>
    <w:rsid w:val="00B66D22"/>
    <w:rsid w:val="00B70213"/>
    <w:rsid w:val="00B72E3F"/>
    <w:rsid w:val="00B7366E"/>
    <w:rsid w:val="00B74BF0"/>
    <w:rsid w:val="00B74C55"/>
    <w:rsid w:val="00B7570B"/>
    <w:rsid w:val="00B757DC"/>
    <w:rsid w:val="00B8075E"/>
    <w:rsid w:val="00B807F5"/>
    <w:rsid w:val="00B80A94"/>
    <w:rsid w:val="00B814ED"/>
    <w:rsid w:val="00B817DA"/>
    <w:rsid w:val="00B81FDF"/>
    <w:rsid w:val="00B82012"/>
    <w:rsid w:val="00B8523C"/>
    <w:rsid w:val="00B853BD"/>
    <w:rsid w:val="00B86AC6"/>
    <w:rsid w:val="00B86AD5"/>
    <w:rsid w:val="00B87C82"/>
    <w:rsid w:val="00B913FE"/>
    <w:rsid w:val="00B91A41"/>
    <w:rsid w:val="00B92658"/>
    <w:rsid w:val="00B92FFC"/>
    <w:rsid w:val="00B96617"/>
    <w:rsid w:val="00BA1246"/>
    <w:rsid w:val="00BA2DFC"/>
    <w:rsid w:val="00BA300D"/>
    <w:rsid w:val="00BA33C7"/>
    <w:rsid w:val="00BA4F17"/>
    <w:rsid w:val="00BA5926"/>
    <w:rsid w:val="00BA6277"/>
    <w:rsid w:val="00BA688D"/>
    <w:rsid w:val="00BA69E4"/>
    <w:rsid w:val="00BA6F9E"/>
    <w:rsid w:val="00BA7614"/>
    <w:rsid w:val="00BA7C5C"/>
    <w:rsid w:val="00BB0331"/>
    <w:rsid w:val="00BB1557"/>
    <w:rsid w:val="00BB1ACF"/>
    <w:rsid w:val="00BB2EA7"/>
    <w:rsid w:val="00BB4D43"/>
    <w:rsid w:val="00BB5EC7"/>
    <w:rsid w:val="00BB5ED1"/>
    <w:rsid w:val="00BB7571"/>
    <w:rsid w:val="00BB795F"/>
    <w:rsid w:val="00BC2289"/>
    <w:rsid w:val="00BC2C88"/>
    <w:rsid w:val="00BC52C8"/>
    <w:rsid w:val="00BC5385"/>
    <w:rsid w:val="00BC553A"/>
    <w:rsid w:val="00BC5673"/>
    <w:rsid w:val="00BC7438"/>
    <w:rsid w:val="00BC7CFE"/>
    <w:rsid w:val="00BC7E0B"/>
    <w:rsid w:val="00BD1618"/>
    <w:rsid w:val="00BD239D"/>
    <w:rsid w:val="00BD2B02"/>
    <w:rsid w:val="00BD349D"/>
    <w:rsid w:val="00BD3963"/>
    <w:rsid w:val="00BD4AB5"/>
    <w:rsid w:val="00BD5CBF"/>
    <w:rsid w:val="00BD711E"/>
    <w:rsid w:val="00BE1BBE"/>
    <w:rsid w:val="00BE2D19"/>
    <w:rsid w:val="00BE33ED"/>
    <w:rsid w:val="00BE34B2"/>
    <w:rsid w:val="00BE4016"/>
    <w:rsid w:val="00BE4140"/>
    <w:rsid w:val="00BE48C9"/>
    <w:rsid w:val="00BE4D38"/>
    <w:rsid w:val="00BE4F7A"/>
    <w:rsid w:val="00BE64BB"/>
    <w:rsid w:val="00BF274A"/>
    <w:rsid w:val="00BF2A1E"/>
    <w:rsid w:val="00BF32D1"/>
    <w:rsid w:val="00BF3410"/>
    <w:rsid w:val="00BF461B"/>
    <w:rsid w:val="00BF48BD"/>
    <w:rsid w:val="00BF6A53"/>
    <w:rsid w:val="00BF7447"/>
    <w:rsid w:val="00BF7672"/>
    <w:rsid w:val="00BF7E8D"/>
    <w:rsid w:val="00C00BD5"/>
    <w:rsid w:val="00C00E2D"/>
    <w:rsid w:val="00C0162C"/>
    <w:rsid w:val="00C02163"/>
    <w:rsid w:val="00C033E1"/>
    <w:rsid w:val="00C0352A"/>
    <w:rsid w:val="00C03758"/>
    <w:rsid w:val="00C050A4"/>
    <w:rsid w:val="00C05CC0"/>
    <w:rsid w:val="00C060E0"/>
    <w:rsid w:val="00C07463"/>
    <w:rsid w:val="00C1103E"/>
    <w:rsid w:val="00C12230"/>
    <w:rsid w:val="00C12B4B"/>
    <w:rsid w:val="00C148A0"/>
    <w:rsid w:val="00C16E78"/>
    <w:rsid w:val="00C2027D"/>
    <w:rsid w:val="00C20B83"/>
    <w:rsid w:val="00C22531"/>
    <w:rsid w:val="00C225A3"/>
    <w:rsid w:val="00C23B05"/>
    <w:rsid w:val="00C24A4F"/>
    <w:rsid w:val="00C2723F"/>
    <w:rsid w:val="00C301BE"/>
    <w:rsid w:val="00C308EF"/>
    <w:rsid w:val="00C30DC4"/>
    <w:rsid w:val="00C31613"/>
    <w:rsid w:val="00C32793"/>
    <w:rsid w:val="00C32C9F"/>
    <w:rsid w:val="00C32E27"/>
    <w:rsid w:val="00C34655"/>
    <w:rsid w:val="00C34BC7"/>
    <w:rsid w:val="00C35A35"/>
    <w:rsid w:val="00C35F49"/>
    <w:rsid w:val="00C36A17"/>
    <w:rsid w:val="00C37742"/>
    <w:rsid w:val="00C404C0"/>
    <w:rsid w:val="00C410CF"/>
    <w:rsid w:val="00C412D3"/>
    <w:rsid w:val="00C42DFC"/>
    <w:rsid w:val="00C430A8"/>
    <w:rsid w:val="00C433A2"/>
    <w:rsid w:val="00C45A6E"/>
    <w:rsid w:val="00C45DD4"/>
    <w:rsid w:val="00C461FF"/>
    <w:rsid w:val="00C46AD2"/>
    <w:rsid w:val="00C47595"/>
    <w:rsid w:val="00C478A9"/>
    <w:rsid w:val="00C47A5A"/>
    <w:rsid w:val="00C47DF9"/>
    <w:rsid w:val="00C5051C"/>
    <w:rsid w:val="00C52D1D"/>
    <w:rsid w:val="00C541E4"/>
    <w:rsid w:val="00C54426"/>
    <w:rsid w:val="00C54919"/>
    <w:rsid w:val="00C54CFD"/>
    <w:rsid w:val="00C55326"/>
    <w:rsid w:val="00C56E8F"/>
    <w:rsid w:val="00C57C63"/>
    <w:rsid w:val="00C618E8"/>
    <w:rsid w:val="00C62282"/>
    <w:rsid w:val="00C62C8E"/>
    <w:rsid w:val="00C64301"/>
    <w:rsid w:val="00C649A9"/>
    <w:rsid w:val="00C654C1"/>
    <w:rsid w:val="00C65A8A"/>
    <w:rsid w:val="00C6786D"/>
    <w:rsid w:val="00C67EE7"/>
    <w:rsid w:val="00C706FD"/>
    <w:rsid w:val="00C709A1"/>
    <w:rsid w:val="00C712F8"/>
    <w:rsid w:val="00C7270A"/>
    <w:rsid w:val="00C72F51"/>
    <w:rsid w:val="00C735CC"/>
    <w:rsid w:val="00C7371B"/>
    <w:rsid w:val="00C73BE3"/>
    <w:rsid w:val="00C73DDA"/>
    <w:rsid w:val="00C746E5"/>
    <w:rsid w:val="00C7503D"/>
    <w:rsid w:val="00C7513B"/>
    <w:rsid w:val="00C751AA"/>
    <w:rsid w:val="00C75739"/>
    <w:rsid w:val="00C757AC"/>
    <w:rsid w:val="00C75DBD"/>
    <w:rsid w:val="00C7790E"/>
    <w:rsid w:val="00C80BD8"/>
    <w:rsid w:val="00C83283"/>
    <w:rsid w:val="00C8387A"/>
    <w:rsid w:val="00C83EE2"/>
    <w:rsid w:val="00C85549"/>
    <w:rsid w:val="00C8654D"/>
    <w:rsid w:val="00C90F7A"/>
    <w:rsid w:val="00C911F5"/>
    <w:rsid w:val="00C91E04"/>
    <w:rsid w:val="00C9343B"/>
    <w:rsid w:val="00C94662"/>
    <w:rsid w:val="00C94700"/>
    <w:rsid w:val="00C95F69"/>
    <w:rsid w:val="00C962FC"/>
    <w:rsid w:val="00C96C88"/>
    <w:rsid w:val="00CA0162"/>
    <w:rsid w:val="00CA04C5"/>
    <w:rsid w:val="00CA0AC3"/>
    <w:rsid w:val="00CA1204"/>
    <w:rsid w:val="00CA12D8"/>
    <w:rsid w:val="00CA13B5"/>
    <w:rsid w:val="00CA2654"/>
    <w:rsid w:val="00CA3297"/>
    <w:rsid w:val="00CA3F2E"/>
    <w:rsid w:val="00CA4156"/>
    <w:rsid w:val="00CA44E4"/>
    <w:rsid w:val="00CB0218"/>
    <w:rsid w:val="00CB0221"/>
    <w:rsid w:val="00CB09F9"/>
    <w:rsid w:val="00CB0CEF"/>
    <w:rsid w:val="00CB159E"/>
    <w:rsid w:val="00CB2C74"/>
    <w:rsid w:val="00CB2E67"/>
    <w:rsid w:val="00CB4705"/>
    <w:rsid w:val="00CB6890"/>
    <w:rsid w:val="00CB771E"/>
    <w:rsid w:val="00CC1441"/>
    <w:rsid w:val="00CC1616"/>
    <w:rsid w:val="00CC2281"/>
    <w:rsid w:val="00CC2B0B"/>
    <w:rsid w:val="00CC2E4F"/>
    <w:rsid w:val="00CC419A"/>
    <w:rsid w:val="00CC4B51"/>
    <w:rsid w:val="00CC5E69"/>
    <w:rsid w:val="00CC639C"/>
    <w:rsid w:val="00CC777A"/>
    <w:rsid w:val="00CC7EA6"/>
    <w:rsid w:val="00CD1101"/>
    <w:rsid w:val="00CD3202"/>
    <w:rsid w:val="00CD5390"/>
    <w:rsid w:val="00CD6842"/>
    <w:rsid w:val="00CE293C"/>
    <w:rsid w:val="00CE4386"/>
    <w:rsid w:val="00CE4CD6"/>
    <w:rsid w:val="00CE4E68"/>
    <w:rsid w:val="00CE5021"/>
    <w:rsid w:val="00CE519B"/>
    <w:rsid w:val="00CE628F"/>
    <w:rsid w:val="00CE6369"/>
    <w:rsid w:val="00CE795B"/>
    <w:rsid w:val="00CF0037"/>
    <w:rsid w:val="00CF0301"/>
    <w:rsid w:val="00CF0A93"/>
    <w:rsid w:val="00CF0C4A"/>
    <w:rsid w:val="00CF0DF0"/>
    <w:rsid w:val="00CF25F1"/>
    <w:rsid w:val="00CF3832"/>
    <w:rsid w:val="00CF3C59"/>
    <w:rsid w:val="00CF5F66"/>
    <w:rsid w:val="00CF650E"/>
    <w:rsid w:val="00CF6D6E"/>
    <w:rsid w:val="00CF7DA3"/>
    <w:rsid w:val="00D02AC4"/>
    <w:rsid w:val="00D02CE3"/>
    <w:rsid w:val="00D02D84"/>
    <w:rsid w:val="00D03764"/>
    <w:rsid w:val="00D038A3"/>
    <w:rsid w:val="00D04778"/>
    <w:rsid w:val="00D056D7"/>
    <w:rsid w:val="00D05D76"/>
    <w:rsid w:val="00D07584"/>
    <w:rsid w:val="00D1176F"/>
    <w:rsid w:val="00D12251"/>
    <w:rsid w:val="00D132C5"/>
    <w:rsid w:val="00D138FD"/>
    <w:rsid w:val="00D13B52"/>
    <w:rsid w:val="00D149AD"/>
    <w:rsid w:val="00D15378"/>
    <w:rsid w:val="00D157F0"/>
    <w:rsid w:val="00D162A5"/>
    <w:rsid w:val="00D20E7D"/>
    <w:rsid w:val="00D213C5"/>
    <w:rsid w:val="00D2294C"/>
    <w:rsid w:val="00D2392D"/>
    <w:rsid w:val="00D23F18"/>
    <w:rsid w:val="00D24CB2"/>
    <w:rsid w:val="00D24D6F"/>
    <w:rsid w:val="00D25446"/>
    <w:rsid w:val="00D255D1"/>
    <w:rsid w:val="00D25FD5"/>
    <w:rsid w:val="00D2607F"/>
    <w:rsid w:val="00D265AF"/>
    <w:rsid w:val="00D26DA8"/>
    <w:rsid w:val="00D270F6"/>
    <w:rsid w:val="00D27481"/>
    <w:rsid w:val="00D27A12"/>
    <w:rsid w:val="00D27B0B"/>
    <w:rsid w:val="00D27C01"/>
    <w:rsid w:val="00D308CA"/>
    <w:rsid w:val="00D31E20"/>
    <w:rsid w:val="00D32210"/>
    <w:rsid w:val="00D32BE0"/>
    <w:rsid w:val="00D32D21"/>
    <w:rsid w:val="00D34043"/>
    <w:rsid w:val="00D35FF1"/>
    <w:rsid w:val="00D36B33"/>
    <w:rsid w:val="00D37207"/>
    <w:rsid w:val="00D3730D"/>
    <w:rsid w:val="00D37BB6"/>
    <w:rsid w:val="00D417A4"/>
    <w:rsid w:val="00D42CE6"/>
    <w:rsid w:val="00D42DA4"/>
    <w:rsid w:val="00D45AF6"/>
    <w:rsid w:val="00D4625F"/>
    <w:rsid w:val="00D46791"/>
    <w:rsid w:val="00D47CE4"/>
    <w:rsid w:val="00D47F4C"/>
    <w:rsid w:val="00D47FCC"/>
    <w:rsid w:val="00D50711"/>
    <w:rsid w:val="00D50980"/>
    <w:rsid w:val="00D51C9C"/>
    <w:rsid w:val="00D51FB2"/>
    <w:rsid w:val="00D5240A"/>
    <w:rsid w:val="00D5465D"/>
    <w:rsid w:val="00D55FF3"/>
    <w:rsid w:val="00D56837"/>
    <w:rsid w:val="00D5708D"/>
    <w:rsid w:val="00D57F32"/>
    <w:rsid w:val="00D602BC"/>
    <w:rsid w:val="00D6074E"/>
    <w:rsid w:val="00D61E0E"/>
    <w:rsid w:val="00D631B7"/>
    <w:rsid w:val="00D64A5F"/>
    <w:rsid w:val="00D64FC0"/>
    <w:rsid w:val="00D6534B"/>
    <w:rsid w:val="00D66CBF"/>
    <w:rsid w:val="00D67BA5"/>
    <w:rsid w:val="00D7094B"/>
    <w:rsid w:val="00D709F3"/>
    <w:rsid w:val="00D7139B"/>
    <w:rsid w:val="00D73659"/>
    <w:rsid w:val="00D738EE"/>
    <w:rsid w:val="00D7556A"/>
    <w:rsid w:val="00D75B55"/>
    <w:rsid w:val="00D76685"/>
    <w:rsid w:val="00D769EA"/>
    <w:rsid w:val="00D77EB5"/>
    <w:rsid w:val="00D80B47"/>
    <w:rsid w:val="00D815F8"/>
    <w:rsid w:val="00D8171D"/>
    <w:rsid w:val="00D81FA3"/>
    <w:rsid w:val="00D83369"/>
    <w:rsid w:val="00D8447E"/>
    <w:rsid w:val="00D846CD"/>
    <w:rsid w:val="00D84BE1"/>
    <w:rsid w:val="00D85CAF"/>
    <w:rsid w:val="00D8698E"/>
    <w:rsid w:val="00D87B4A"/>
    <w:rsid w:val="00D87CB8"/>
    <w:rsid w:val="00D9009B"/>
    <w:rsid w:val="00D9153C"/>
    <w:rsid w:val="00D91B22"/>
    <w:rsid w:val="00D929AE"/>
    <w:rsid w:val="00D97149"/>
    <w:rsid w:val="00D97615"/>
    <w:rsid w:val="00D978BF"/>
    <w:rsid w:val="00D97CED"/>
    <w:rsid w:val="00D97EB6"/>
    <w:rsid w:val="00DA1DAB"/>
    <w:rsid w:val="00DA1E49"/>
    <w:rsid w:val="00DA1F6B"/>
    <w:rsid w:val="00DA22C1"/>
    <w:rsid w:val="00DA2C4C"/>
    <w:rsid w:val="00DA2E12"/>
    <w:rsid w:val="00DA307A"/>
    <w:rsid w:val="00DA3876"/>
    <w:rsid w:val="00DA3C17"/>
    <w:rsid w:val="00DA3F13"/>
    <w:rsid w:val="00DA5140"/>
    <w:rsid w:val="00DA547B"/>
    <w:rsid w:val="00DA5497"/>
    <w:rsid w:val="00DA549B"/>
    <w:rsid w:val="00DA5576"/>
    <w:rsid w:val="00DA6936"/>
    <w:rsid w:val="00DA7135"/>
    <w:rsid w:val="00DA718B"/>
    <w:rsid w:val="00DB19AA"/>
    <w:rsid w:val="00DB3940"/>
    <w:rsid w:val="00DB4021"/>
    <w:rsid w:val="00DB4FB0"/>
    <w:rsid w:val="00DB5E11"/>
    <w:rsid w:val="00DB5FDB"/>
    <w:rsid w:val="00DB7F7B"/>
    <w:rsid w:val="00DC19C7"/>
    <w:rsid w:val="00DC2404"/>
    <w:rsid w:val="00DC29BD"/>
    <w:rsid w:val="00DC2AE9"/>
    <w:rsid w:val="00DC2CDF"/>
    <w:rsid w:val="00DC2F74"/>
    <w:rsid w:val="00DC2F91"/>
    <w:rsid w:val="00DC3BF2"/>
    <w:rsid w:val="00DC4B79"/>
    <w:rsid w:val="00DD092D"/>
    <w:rsid w:val="00DD21CD"/>
    <w:rsid w:val="00DD22B8"/>
    <w:rsid w:val="00DD4917"/>
    <w:rsid w:val="00DD5354"/>
    <w:rsid w:val="00DD5E53"/>
    <w:rsid w:val="00DD5E6B"/>
    <w:rsid w:val="00DD7357"/>
    <w:rsid w:val="00DD737C"/>
    <w:rsid w:val="00DD75D2"/>
    <w:rsid w:val="00DE232B"/>
    <w:rsid w:val="00DE2841"/>
    <w:rsid w:val="00DE2C13"/>
    <w:rsid w:val="00DE68EB"/>
    <w:rsid w:val="00DE6B4D"/>
    <w:rsid w:val="00DE7045"/>
    <w:rsid w:val="00DF0B0E"/>
    <w:rsid w:val="00DF0D09"/>
    <w:rsid w:val="00DF4B37"/>
    <w:rsid w:val="00DF5B9F"/>
    <w:rsid w:val="00DF5C14"/>
    <w:rsid w:val="00DF69AF"/>
    <w:rsid w:val="00DF7A22"/>
    <w:rsid w:val="00DF7E48"/>
    <w:rsid w:val="00E005D3"/>
    <w:rsid w:val="00E01078"/>
    <w:rsid w:val="00E0283E"/>
    <w:rsid w:val="00E02B65"/>
    <w:rsid w:val="00E02D93"/>
    <w:rsid w:val="00E0458E"/>
    <w:rsid w:val="00E06CC4"/>
    <w:rsid w:val="00E07BAE"/>
    <w:rsid w:val="00E1010B"/>
    <w:rsid w:val="00E104D8"/>
    <w:rsid w:val="00E1051D"/>
    <w:rsid w:val="00E121EE"/>
    <w:rsid w:val="00E13D7E"/>
    <w:rsid w:val="00E142C5"/>
    <w:rsid w:val="00E149BB"/>
    <w:rsid w:val="00E14C6E"/>
    <w:rsid w:val="00E1626C"/>
    <w:rsid w:val="00E17426"/>
    <w:rsid w:val="00E21643"/>
    <w:rsid w:val="00E22292"/>
    <w:rsid w:val="00E23B7A"/>
    <w:rsid w:val="00E25070"/>
    <w:rsid w:val="00E25930"/>
    <w:rsid w:val="00E26441"/>
    <w:rsid w:val="00E27963"/>
    <w:rsid w:val="00E31B8B"/>
    <w:rsid w:val="00E32C1E"/>
    <w:rsid w:val="00E32C37"/>
    <w:rsid w:val="00E336D0"/>
    <w:rsid w:val="00E35CF7"/>
    <w:rsid w:val="00E35D48"/>
    <w:rsid w:val="00E4137B"/>
    <w:rsid w:val="00E41533"/>
    <w:rsid w:val="00E42A94"/>
    <w:rsid w:val="00E44B69"/>
    <w:rsid w:val="00E44C76"/>
    <w:rsid w:val="00E44D45"/>
    <w:rsid w:val="00E465ED"/>
    <w:rsid w:val="00E472D3"/>
    <w:rsid w:val="00E47A47"/>
    <w:rsid w:val="00E47D1C"/>
    <w:rsid w:val="00E51B9E"/>
    <w:rsid w:val="00E52CE5"/>
    <w:rsid w:val="00E53C41"/>
    <w:rsid w:val="00E5433B"/>
    <w:rsid w:val="00E56495"/>
    <w:rsid w:val="00E60870"/>
    <w:rsid w:val="00E60F83"/>
    <w:rsid w:val="00E62609"/>
    <w:rsid w:val="00E63C6E"/>
    <w:rsid w:val="00E6449B"/>
    <w:rsid w:val="00E70321"/>
    <w:rsid w:val="00E70528"/>
    <w:rsid w:val="00E7099C"/>
    <w:rsid w:val="00E71083"/>
    <w:rsid w:val="00E71E36"/>
    <w:rsid w:val="00E72BEA"/>
    <w:rsid w:val="00E72CF5"/>
    <w:rsid w:val="00E746BB"/>
    <w:rsid w:val="00E74DAD"/>
    <w:rsid w:val="00E758BE"/>
    <w:rsid w:val="00E76CC1"/>
    <w:rsid w:val="00E77CAB"/>
    <w:rsid w:val="00E81127"/>
    <w:rsid w:val="00E8146B"/>
    <w:rsid w:val="00E828D0"/>
    <w:rsid w:val="00E831C2"/>
    <w:rsid w:val="00E8322D"/>
    <w:rsid w:val="00E83FE3"/>
    <w:rsid w:val="00E86152"/>
    <w:rsid w:val="00E8643F"/>
    <w:rsid w:val="00E86775"/>
    <w:rsid w:val="00E87339"/>
    <w:rsid w:val="00E90328"/>
    <w:rsid w:val="00E907E3"/>
    <w:rsid w:val="00E91F0B"/>
    <w:rsid w:val="00E922A6"/>
    <w:rsid w:val="00E92337"/>
    <w:rsid w:val="00E925F8"/>
    <w:rsid w:val="00E92F9D"/>
    <w:rsid w:val="00E937DE"/>
    <w:rsid w:val="00E93DB1"/>
    <w:rsid w:val="00E94A83"/>
    <w:rsid w:val="00E9575A"/>
    <w:rsid w:val="00E95C6F"/>
    <w:rsid w:val="00E96B4D"/>
    <w:rsid w:val="00E96BBF"/>
    <w:rsid w:val="00E97DBF"/>
    <w:rsid w:val="00EA0A11"/>
    <w:rsid w:val="00EA1116"/>
    <w:rsid w:val="00EA1177"/>
    <w:rsid w:val="00EA3411"/>
    <w:rsid w:val="00EA46C8"/>
    <w:rsid w:val="00EA4806"/>
    <w:rsid w:val="00EA4A78"/>
    <w:rsid w:val="00EA57D6"/>
    <w:rsid w:val="00EA6958"/>
    <w:rsid w:val="00EA7470"/>
    <w:rsid w:val="00EA79DA"/>
    <w:rsid w:val="00EB0E03"/>
    <w:rsid w:val="00EB3BAC"/>
    <w:rsid w:val="00EB4EA2"/>
    <w:rsid w:val="00EB5C53"/>
    <w:rsid w:val="00EB5E30"/>
    <w:rsid w:val="00EB6F48"/>
    <w:rsid w:val="00EB7127"/>
    <w:rsid w:val="00EB75E3"/>
    <w:rsid w:val="00EC1069"/>
    <w:rsid w:val="00EC2047"/>
    <w:rsid w:val="00EC2173"/>
    <w:rsid w:val="00EC3E83"/>
    <w:rsid w:val="00EC3F19"/>
    <w:rsid w:val="00EC5F44"/>
    <w:rsid w:val="00EC64DF"/>
    <w:rsid w:val="00EC77ED"/>
    <w:rsid w:val="00ED0B84"/>
    <w:rsid w:val="00ED0F60"/>
    <w:rsid w:val="00ED1E5B"/>
    <w:rsid w:val="00ED2EEF"/>
    <w:rsid w:val="00ED3006"/>
    <w:rsid w:val="00ED403F"/>
    <w:rsid w:val="00ED6B2C"/>
    <w:rsid w:val="00ED7C10"/>
    <w:rsid w:val="00EE164A"/>
    <w:rsid w:val="00EE1921"/>
    <w:rsid w:val="00EE2A03"/>
    <w:rsid w:val="00EE2CA3"/>
    <w:rsid w:val="00EE436B"/>
    <w:rsid w:val="00EE4566"/>
    <w:rsid w:val="00EE636B"/>
    <w:rsid w:val="00EE7BC2"/>
    <w:rsid w:val="00EF0004"/>
    <w:rsid w:val="00EF0595"/>
    <w:rsid w:val="00EF0598"/>
    <w:rsid w:val="00EF0E47"/>
    <w:rsid w:val="00EF1793"/>
    <w:rsid w:val="00EF1CB4"/>
    <w:rsid w:val="00EF32E0"/>
    <w:rsid w:val="00EF4F5A"/>
    <w:rsid w:val="00EF5343"/>
    <w:rsid w:val="00EF598B"/>
    <w:rsid w:val="00EF5C50"/>
    <w:rsid w:val="00F014EF"/>
    <w:rsid w:val="00F02017"/>
    <w:rsid w:val="00F0220D"/>
    <w:rsid w:val="00F02DD2"/>
    <w:rsid w:val="00F02F62"/>
    <w:rsid w:val="00F03460"/>
    <w:rsid w:val="00F0437B"/>
    <w:rsid w:val="00F046B4"/>
    <w:rsid w:val="00F056B0"/>
    <w:rsid w:val="00F0788B"/>
    <w:rsid w:val="00F100F2"/>
    <w:rsid w:val="00F10214"/>
    <w:rsid w:val="00F10427"/>
    <w:rsid w:val="00F1101D"/>
    <w:rsid w:val="00F1150E"/>
    <w:rsid w:val="00F154AE"/>
    <w:rsid w:val="00F15A89"/>
    <w:rsid w:val="00F16192"/>
    <w:rsid w:val="00F16B48"/>
    <w:rsid w:val="00F1750C"/>
    <w:rsid w:val="00F20856"/>
    <w:rsid w:val="00F20EDB"/>
    <w:rsid w:val="00F21242"/>
    <w:rsid w:val="00F212CE"/>
    <w:rsid w:val="00F22697"/>
    <w:rsid w:val="00F231FC"/>
    <w:rsid w:val="00F2419B"/>
    <w:rsid w:val="00F246DB"/>
    <w:rsid w:val="00F24E52"/>
    <w:rsid w:val="00F252E8"/>
    <w:rsid w:val="00F258FD"/>
    <w:rsid w:val="00F266F2"/>
    <w:rsid w:val="00F2675B"/>
    <w:rsid w:val="00F2724B"/>
    <w:rsid w:val="00F2739B"/>
    <w:rsid w:val="00F315F2"/>
    <w:rsid w:val="00F3187F"/>
    <w:rsid w:val="00F31DC1"/>
    <w:rsid w:val="00F34048"/>
    <w:rsid w:val="00F3448E"/>
    <w:rsid w:val="00F34979"/>
    <w:rsid w:val="00F34C37"/>
    <w:rsid w:val="00F34FF6"/>
    <w:rsid w:val="00F36A08"/>
    <w:rsid w:val="00F36A4E"/>
    <w:rsid w:val="00F37493"/>
    <w:rsid w:val="00F37ACB"/>
    <w:rsid w:val="00F37DC9"/>
    <w:rsid w:val="00F37DDA"/>
    <w:rsid w:val="00F40436"/>
    <w:rsid w:val="00F40644"/>
    <w:rsid w:val="00F40E1B"/>
    <w:rsid w:val="00F4107B"/>
    <w:rsid w:val="00F418E0"/>
    <w:rsid w:val="00F42025"/>
    <w:rsid w:val="00F45091"/>
    <w:rsid w:val="00F452F2"/>
    <w:rsid w:val="00F45988"/>
    <w:rsid w:val="00F47EC6"/>
    <w:rsid w:val="00F50F14"/>
    <w:rsid w:val="00F510A2"/>
    <w:rsid w:val="00F51C2F"/>
    <w:rsid w:val="00F539E6"/>
    <w:rsid w:val="00F53ED3"/>
    <w:rsid w:val="00F54B5C"/>
    <w:rsid w:val="00F55037"/>
    <w:rsid w:val="00F5664F"/>
    <w:rsid w:val="00F57B33"/>
    <w:rsid w:val="00F60787"/>
    <w:rsid w:val="00F61040"/>
    <w:rsid w:val="00F6137E"/>
    <w:rsid w:val="00F61807"/>
    <w:rsid w:val="00F633D8"/>
    <w:rsid w:val="00F63AF3"/>
    <w:rsid w:val="00F645F5"/>
    <w:rsid w:val="00F655B5"/>
    <w:rsid w:val="00F65FCE"/>
    <w:rsid w:val="00F700A8"/>
    <w:rsid w:val="00F70B50"/>
    <w:rsid w:val="00F70F61"/>
    <w:rsid w:val="00F71FE9"/>
    <w:rsid w:val="00F7455E"/>
    <w:rsid w:val="00F74A17"/>
    <w:rsid w:val="00F7559B"/>
    <w:rsid w:val="00F76BC2"/>
    <w:rsid w:val="00F77884"/>
    <w:rsid w:val="00F80E46"/>
    <w:rsid w:val="00F80FAE"/>
    <w:rsid w:val="00F82438"/>
    <w:rsid w:val="00F82CC4"/>
    <w:rsid w:val="00F8309D"/>
    <w:rsid w:val="00F84001"/>
    <w:rsid w:val="00F85972"/>
    <w:rsid w:val="00F869C0"/>
    <w:rsid w:val="00F86F3B"/>
    <w:rsid w:val="00F8705A"/>
    <w:rsid w:val="00F90540"/>
    <w:rsid w:val="00F90C2D"/>
    <w:rsid w:val="00F91890"/>
    <w:rsid w:val="00F91E60"/>
    <w:rsid w:val="00F9265A"/>
    <w:rsid w:val="00F92750"/>
    <w:rsid w:val="00F94787"/>
    <w:rsid w:val="00F97737"/>
    <w:rsid w:val="00F97C9B"/>
    <w:rsid w:val="00F97DFB"/>
    <w:rsid w:val="00FA02CA"/>
    <w:rsid w:val="00FA056B"/>
    <w:rsid w:val="00FA0D27"/>
    <w:rsid w:val="00FA2C51"/>
    <w:rsid w:val="00FA2E95"/>
    <w:rsid w:val="00FA57F7"/>
    <w:rsid w:val="00FA635D"/>
    <w:rsid w:val="00FA7265"/>
    <w:rsid w:val="00FA79BC"/>
    <w:rsid w:val="00FA7CA1"/>
    <w:rsid w:val="00FB08AE"/>
    <w:rsid w:val="00FB2E53"/>
    <w:rsid w:val="00FC0621"/>
    <w:rsid w:val="00FC1F6A"/>
    <w:rsid w:val="00FC1FC6"/>
    <w:rsid w:val="00FC23A7"/>
    <w:rsid w:val="00FC4039"/>
    <w:rsid w:val="00FC42CF"/>
    <w:rsid w:val="00FC5C39"/>
    <w:rsid w:val="00FC5FB7"/>
    <w:rsid w:val="00FC6B2A"/>
    <w:rsid w:val="00FC6C37"/>
    <w:rsid w:val="00FD200B"/>
    <w:rsid w:val="00FD20AC"/>
    <w:rsid w:val="00FD257A"/>
    <w:rsid w:val="00FD3636"/>
    <w:rsid w:val="00FD36A3"/>
    <w:rsid w:val="00FD36C9"/>
    <w:rsid w:val="00FD37D8"/>
    <w:rsid w:val="00FD3D7C"/>
    <w:rsid w:val="00FD536E"/>
    <w:rsid w:val="00FD621B"/>
    <w:rsid w:val="00FD7D0B"/>
    <w:rsid w:val="00FE278F"/>
    <w:rsid w:val="00FE4582"/>
    <w:rsid w:val="00FE4ABA"/>
    <w:rsid w:val="00FE4D08"/>
    <w:rsid w:val="00FE516C"/>
    <w:rsid w:val="00FE554D"/>
    <w:rsid w:val="00FE60C2"/>
    <w:rsid w:val="00FE6746"/>
    <w:rsid w:val="00FE6791"/>
    <w:rsid w:val="00FE7BB6"/>
    <w:rsid w:val="00FE7BCB"/>
    <w:rsid w:val="00FF0644"/>
    <w:rsid w:val="00FF0EFA"/>
    <w:rsid w:val="00FF2D9D"/>
    <w:rsid w:val="00FF36DD"/>
    <w:rsid w:val="00FF68E8"/>
    <w:rsid w:val="00FF68F4"/>
    <w:rsid w:val="00FF6B6D"/>
    <w:rsid w:val="00FF6EAF"/>
    <w:rsid w:val="00FF7EC8"/>
    <w:rsid w:val="01751E26"/>
    <w:rsid w:val="02DE063B"/>
    <w:rsid w:val="03781E42"/>
    <w:rsid w:val="04280C7A"/>
    <w:rsid w:val="04770D2B"/>
    <w:rsid w:val="04D72BD5"/>
    <w:rsid w:val="05377B18"/>
    <w:rsid w:val="060A5668"/>
    <w:rsid w:val="06C27509"/>
    <w:rsid w:val="06D226EA"/>
    <w:rsid w:val="075C5FF4"/>
    <w:rsid w:val="08B648FE"/>
    <w:rsid w:val="08EF0F97"/>
    <w:rsid w:val="09CD45A7"/>
    <w:rsid w:val="0AED3BBD"/>
    <w:rsid w:val="0B4B3390"/>
    <w:rsid w:val="0B515B5E"/>
    <w:rsid w:val="0BCB1F89"/>
    <w:rsid w:val="0C1B7FA6"/>
    <w:rsid w:val="0C4E40C4"/>
    <w:rsid w:val="0CF37EEB"/>
    <w:rsid w:val="0E3F41C9"/>
    <w:rsid w:val="0E6F43F4"/>
    <w:rsid w:val="0E750F1B"/>
    <w:rsid w:val="0EB1787E"/>
    <w:rsid w:val="0EB245C8"/>
    <w:rsid w:val="0EE04D7C"/>
    <w:rsid w:val="10E80199"/>
    <w:rsid w:val="138A3509"/>
    <w:rsid w:val="14377928"/>
    <w:rsid w:val="15060F99"/>
    <w:rsid w:val="15FF0845"/>
    <w:rsid w:val="165365FB"/>
    <w:rsid w:val="17850640"/>
    <w:rsid w:val="18B55AF9"/>
    <w:rsid w:val="19410315"/>
    <w:rsid w:val="195C7BCC"/>
    <w:rsid w:val="1A93153B"/>
    <w:rsid w:val="1C0812BC"/>
    <w:rsid w:val="1C090BF8"/>
    <w:rsid w:val="1E1E141D"/>
    <w:rsid w:val="1E2D2B39"/>
    <w:rsid w:val="1F3912D8"/>
    <w:rsid w:val="204832CC"/>
    <w:rsid w:val="21555550"/>
    <w:rsid w:val="21774678"/>
    <w:rsid w:val="23185E5D"/>
    <w:rsid w:val="23E458D4"/>
    <w:rsid w:val="25306AE9"/>
    <w:rsid w:val="25B4400D"/>
    <w:rsid w:val="27053731"/>
    <w:rsid w:val="279A1C66"/>
    <w:rsid w:val="2801539E"/>
    <w:rsid w:val="285F5097"/>
    <w:rsid w:val="288F6303"/>
    <w:rsid w:val="291E4B5F"/>
    <w:rsid w:val="29352C68"/>
    <w:rsid w:val="2A1D363C"/>
    <w:rsid w:val="2AF57C32"/>
    <w:rsid w:val="2BCE0CC0"/>
    <w:rsid w:val="2C5C5E2C"/>
    <w:rsid w:val="2CC22602"/>
    <w:rsid w:val="2DFC098F"/>
    <w:rsid w:val="2EEB7142"/>
    <w:rsid w:val="2F8607FC"/>
    <w:rsid w:val="2F9F5A2E"/>
    <w:rsid w:val="32536A85"/>
    <w:rsid w:val="329919A3"/>
    <w:rsid w:val="32CC2F0A"/>
    <w:rsid w:val="32D9744A"/>
    <w:rsid w:val="33A15FD9"/>
    <w:rsid w:val="342B057B"/>
    <w:rsid w:val="34B36A5B"/>
    <w:rsid w:val="371D38D0"/>
    <w:rsid w:val="38B2538A"/>
    <w:rsid w:val="397A7AAD"/>
    <w:rsid w:val="39983604"/>
    <w:rsid w:val="3A6B731D"/>
    <w:rsid w:val="3A813B5C"/>
    <w:rsid w:val="3D1656A7"/>
    <w:rsid w:val="3DF8713D"/>
    <w:rsid w:val="3F0A2A76"/>
    <w:rsid w:val="3F367A75"/>
    <w:rsid w:val="3FB01EAB"/>
    <w:rsid w:val="3FDA2ADB"/>
    <w:rsid w:val="405B4220"/>
    <w:rsid w:val="40D77E05"/>
    <w:rsid w:val="433231BB"/>
    <w:rsid w:val="43805047"/>
    <w:rsid w:val="438A2467"/>
    <w:rsid w:val="43BC29BB"/>
    <w:rsid w:val="46A64CC0"/>
    <w:rsid w:val="485C4FAD"/>
    <w:rsid w:val="4C110813"/>
    <w:rsid w:val="4E1F4D07"/>
    <w:rsid w:val="4E966487"/>
    <w:rsid w:val="51D04E40"/>
    <w:rsid w:val="537B4E7B"/>
    <w:rsid w:val="54100C3C"/>
    <w:rsid w:val="54E95C98"/>
    <w:rsid w:val="55224803"/>
    <w:rsid w:val="55280129"/>
    <w:rsid w:val="559375C8"/>
    <w:rsid w:val="5628625B"/>
    <w:rsid w:val="565179E8"/>
    <w:rsid w:val="5888597F"/>
    <w:rsid w:val="59407B74"/>
    <w:rsid w:val="5A4A63E0"/>
    <w:rsid w:val="5B0F5D9A"/>
    <w:rsid w:val="5BB701E0"/>
    <w:rsid w:val="5BEC24F3"/>
    <w:rsid w:val="5E190DD8"/>
    <w:rsid w:val="5EEA1E98"/>
    <w:rsid w:val="5F8E103D"/>
    <w:rsid w:val="5FC0045B"/>
    <w:rsid w:val="5FEE162B"/>
    <w:rsid w:val="5FFE303B"/>
    <w:rsid w:val="61A301F6"/>
    <w:rsid w:val="62B23BA2"/>
    <w:rsid w:val="6372336A"/>
    <w:rsid w:val="650D0D57"/>
    <w:rsid w:val="652A37D1"/>
    <w:rsid w:val="653C68B7"/>
    <w:rsid w:val="671816E6"/>
    <w:rsid w:val="6902582B"/>
    <w:rsid w:val="6A2E65E8"/>
    <w:rsid w:val="6B297A46"/>
    <w:rsid w:val="6BCF1D80"/>
    <w:rsid w:val="6C22061C"/>
    <w:rsid w:val="6D262AD0"/>
    <w:rsid w:val="6DA31475"/>
    <w:rsid w:val="6F5C2CD4"/>
    <w:rsid w:val="6F5E5D9D"/>
    <w:rsid w:val="70C00CF2"/>
    <w:rsid w:val="725D6F93"/>
    <w:rsid w:val="75206834"/>
    <w:rsid w:val="75C86E1A"/>
    <w:rsid w:val="76624C85"/>
    <w:rsid w:val="76B77F77"/>
    <w:rsid w:val="77A33460"/>
    <w:rsid w:val="781514B1"/>
    <w:rsid w:val="78632BF8"/>
    <w:rsid w:val="78810F3F"/>
    <w:rsid w:val="79753440"/>
    <w:rsid w:val="7A356A48"/>
    <w:rsid w:val="7A4D0E96"/>
    <w:rsid w:val="7A984F71"/>
    <w:rsid w:val="7AF003B2"/>
    <w:rsid w:val="7C2F41E4"/>
    <w:rsid w:val="7C3A2A38"/>
    <w:rsid w:val="7C487468"/>
    <w:rsid w:val="7DC51B58"/>
    <w:rsid w:val="7DEA03B6"/>
    <w:rsid w:val="7E9975A5"/>
    <w:rsid w:val="7EB14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99" w:semiHidden="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99" w:semiHidden="0" w:name="Body Text Indent 2"/>
    <w:lsdException w:qFormat="1" w:unhideWhenUsed="0" w:uiPriority="0" w:semiHidden="0" w:name="Body Text Indent 3"/>
    <w:lsdException w:qFormat="1" w:unhideWhenUsed="0"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2"/>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link w:val="53"/>
    <w:qFormat/>
    <w:uiPriority w:val="9"/>
    <w:pPr>
      <w:keepNext/>
      <w:keepLines/>
      <w:adjustRightInd w:val="0"/>
      <w:spacing w:before="280" w:after="290" w:line="376" w:lineRule="atLeast"/>
      <w:textAlignment w:val="baseline"/>
      <w:outlineLvl w:val="3"/>
    </w:pPr>
    <w:rPr>
      <w:rFonts w:ascii="Arial" w:hAnsi="Arial" w:eastAsia="黑体"/>
      <w:b/>
      <w:kern w:val="0"/>
      <w:sz w:val="28"/>
    </w:rPr>
  </w:style>
  <w:style w:type="paragraph" w:styleId="6">
    <w:name w:val="heading 5"/>
    <w:basedOn w:val="1"/>
    <w:next w:val="1"/>
    <w:link w:val="54"/>
    <w:qFormat/>
    <w:uiPriority w:val="9"/>
    <w:pPr>
      <w:keepNext/>
      <w:keepLines/>
      <w:adjustRightInd w:val="0"/>
      <w:spacing w:before="280" w:after="290" w:line="376" w:lineRule="atLeast"/>
      <w:textAlignment w:val="baseline"/>
      <w:outlineLvl w:val="4"/>
    </w:pPr>
    <w:rPr>
      <w:b/>
      <w:kern w:val="0"/>
      <w:sz w:val="28"/>
    </w:rPr>
  </w:style>
  <w:style w:type="paragraph" w:styleId="7">
    <w:name w:val="heading 6"/>
    <w:basedOn w:val="1"/>
    <w:next w:val="1"/>
    <w:link w:val="55"/>
    <w:qFormat/>
    <w:uiPriority w:val="9"/>
    <w:pPr>
      <w:keepNext/>
      <w:keepLines/>
      <w:adjustRightInd w:val="0"/>
      <w:spacing w:before="240" w:after="64" w:line="320" w:lineRule="atLeast"/>
      <w:textAlignment w:val="baseline"/>
      <w:outlineLvl w:val="5"/>
    </w:pPr>
    <w:rPr>
      <w:rFonts w:ascii="Arial" w:hAnsi="Arial" w:eastAsia="黑体"/>
      <w:b/>
      <w:kern w:val="0"/>
      <w:sz w:val="24"/>
    </w:rPr>
  </w:style>
  <w:style w:type="paragraph" w:styleId="8">
    <w:name w:val="heading 7"/>
    <w:basedOn w:val="1"/>
    <w:next w:val="1"/>
    <w:link w:val="56"/>
    <w:qFormat/>
    <w:uiPriority w:val="9"/>
    <w:pPr>
      <w:keepNext/>
      <w:keepLines/>
      <w:adjustRightInd w:val="0"/>
      <w:spacing w:before="240" w:after="64" w:line="320" w:lineRule="atLeast"/>
      <w:textAlignment w:val="baseline"/>
      <w:outlineLvl w:val="6"/>
    </w:pPr>
    <w:rPr>
      <w:b/>
      <w:kern w:val="0"/>
      <w:sz w:val="24"/>
    </w:rPr>
  </w:style>
  <w:style w:type="paragraph" w:styleId="9">
    <w:name w:val="heading 8"/>
    <w:basedOn w:val="1"/>
    <w:next w:val="1"/>
    <w:link w:val="57"/>
    <w:qFormat/>
    <w:uiPriority w:val="9"/>
    <w:pPr>
      <w:keepNext/>
      <w:keepLines/>
      <w:adjustRightInd w:val="0"/>
      <w:spacing w:before="240" w:after="64" w:line="320" w:lineRule="atLeast"/>
      <w:textAlignment w:val="baseline"/>
      <w:outlineLvl w:val="7"/>
    </w:pPr>
    <w:rPr>
      <w:rFonts w:ascii="Arial" w:hAnsi="Arial" w:eastAsia="黑体"/>
      <w:kern w:val="0"/>
      <w:sz w:val="24"/>
    </w:rPr>
  </w:style>
  <w:style w:type="paragraph" w:styleId="10">
    <w:name w:val="heading 9"/>
    <w:basedOn w:val="1"/>
    <w:next w:val="1"/>
    <w:link w:val="58"/>
    <w:qFormat/>
    <w:uiPriority w:val="9"/>
    <w:pPr>
      <w:keepNext/>
      <w:keepLines/>
      <w:adjustRightInd w:val="0"/>
      <w:spacing w:before="240" w:after="64" w:line="320" w:lineRule="atLeast"/>
      <w:textAlignment w:val="baseline"/>
      <w:outlineLvl w:val="8"/>
    </w:pPr>
    <w:rPr>
      <w:rFonts w:ascii="Arial" w:hAnsi="Arial" w:eastAsia="黑体"/>
      <w:kern w:val="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ind w:left="2520" w:leftChars="1200"/>
    </w:pPr>
    <w:rPr>
      <w:szCs w:val="24"/>
    </w:rPr>
  </w:style>
  <w:style w:type="paragraph" w:styleId="12">
    <w:name w:val="Normal Indent"/>
    <w:basedOn w:val="1"/>
    <w:link w:val="59"/>
    <w:qFormat/>
    <w:uiPriority w:val="0"/>
    <w:pPr>
      <w:adjustRightInd w:val="0"/>
      <w:snapToGrid w:val="0"/>
      <w:spacing w:line="312" w:lineRule="auto"/>
      <w:ind w:firstLine="200" w:firstLineChars="200"/>
    </w:pPr>
    <w:rPr>
      <w:rFonts w:ascii="宋体"/>
      <w:sz w:val="24"/>
    </w:rPr>
  </w:style>
  <w:style w:type="paragraph" w:styleId="13">
    <w:name w:val="caption"/>
    <w:basedOn w:val="1"/>
    <w:next w:val="1"/>
    <w:qFormat/>
    <w:uiPriority w:val="35"/>
    <w:pPr>
      <w:spacing w:line="360" w:lineRule="auto"/>
      <w:ind w:firstLine="200" w:firstLineChars="200"/>
      <w:jc w:val="left"/>
    </w:pPr>
    <w:rPr>
      <w:rFonts w:ascii="Cambria" w:hAnsi="Cambria" w:eastAsia="黑体"/>
      <w:sz w:val="20"/>
    </w:rPr>
  </w:style>
  <w:style w:type="paragraph" w:styleId="14">
    <w:name w:val="Document Map"/>
    <w:basedOn w:val="1"/>
    <w:link w:val="60"/>
    <w:qFormat/>
    <w:uiPriority w:val="0"/>
    <w:pPr>
      <w:shd w:val="clear" w:color="auto" w:fill="000080"/>
    </w:pPr>
  </w:style>
  <w:style w:type="paragraph" w:styleId="15">
    <w:name w:val="toa heading"/>
    <w:basedOn w:val="1"/>
    <w:next w:val="1"/>
    <w:qFormat/>
    <w:uiPriority w:val="0"/>
    <w:pPr>
      <w:spacing w:before="120"/>
    </w:pPr>
    <w:rPr>
      <w:rFonts w:ascii="Arial" w:hAnsi="Arial"/>
      <w:sz w:val="24"/>
    </w:rPr>
  </w:style>
  <w:style w:type="paragraph" w:styleId="16">
    <w:name w:val="annotation text"/>
    <w:basedOn w:val="1"/>
    <w:link w:val="61"/>
    <w:qFormat/>
    <w:uiPriority w:val="99"/>
    <w:pPr>
      <w:adjustRightInd w:val="0"/>
      <w:spacing w:line="315" w:lineRule="atLeast"/>
      <w:jc w:val="left"/>
      <w:textAlignment w:val="baseline"/>
    </w:pPr>
    <w:rPr>
      <w:rFonts w:ascii="宋体"/>
      <w:kern w:val="0"/>
    </w:rPr>
  </w:style>
  <w:style w:type="paragraph" w:styleId="17">
    <w:name w:val="Body Text"/>
    <w:basedOn w:val="1"/>
    <w:link w:val="62"/>
    <w:qFormat/>
    <w:uiPriority w:val="0"/>
    <w:pPr>
      <w:widowControl/>
      <w:spacing w:line="360" w:lineRule="auto"/>
    </w:pPr>
    <w:rPr>
      <w:color w:val="FF0000"/>
    </w:rPr>
  </w:style>
  <w:style w:type="paragraph" w:styleId="18">
    <w:name w:val="Body Text Indent"/>
    <w:basedOn w:val="1"/>
    <w:link w:val="63"/>
    <w:qFormat/>
    <w:uiPriority w:val="99"/>
    <w:pPr>
      <w:ind w:firstLine="795"/>
    </w:pPr>
    <w:rPr>
      <w:sz w:val="32"/>
    </w:rPr>
  </w:style>
  <w:style w:type="paragraph" w:styleId="19">
    <w:name w:val="Block Text"/>
    <w:basedOn w:val="1"/>
    <w:semiHidden/>
    <w:qFormat/>
    <w:uiPriority w:val="0"/>
    <w:pPr>
      <w:spacing w:line="360" w:lineRule="auto"/>
      <w:ind w:left="420" w:leftChars="200" w:right="25" w:rightChars="12" w:firstLine="560" w:firstLineChars="200"/>
    </w:pPr>
    <w:rPr>
      <w:rFonts w:ascii="仿宋_GB2312" w:hAnsi="宋体" w:eastAsia="仿宋_GB2312"/>
      <w:bCs/>
      <w:sz w:val="28"/>
      <w:szCs w:val="21"/>
    </w:rPr>
  </w:style>
  <w:style w:type="paragraph" w:styleId="20">
    <w:name w:val="toc 5"/>
    <w:basedOn w:val="1"/>
    <w:next w:val="1"/>
    <w:semiHidden/>
    <w:qFormat/>
    <w:uiPriority w:val="0"/>
    <w:pPr>
      <w:ind w:left="1680" w:leftChars="800"/>
    </w:pPr>
    <w:rPr>
      <w:szCs w:val="24"/>
    </w:rPr>
  </w:style>
  <w:style w:type="paragraph" w:styleId="21">
    <w:name w:val="toc 3"/>
    <w:basedOn w:val="1"/>
    <w:next w:val="1"/>
    <w:qFormat/>
    <w:uiPriority w:val="39"/>
    <w:pPr>
      <w:tabs>
        <w:tab w:val="right" w:leader="dot" w:pos="8302"/>
      </w:tabs>
      <w:ind w:left="420"/>
      <w:jc w:val="left"/>
    </w:pPr>
    <w:rPr>
      <w:sz w:val="20"/>
    </w:rPr>
  </w:style>
  <w:style w:type="paragraph" w:styleId="22">
    <w:name w:val="Plain Text"/>
    <w:basedOn w:val="1"/>
    <w:link w:val="64"/>
    <w:qFormat/>
    <w:uiPriority w:val="0"/>
    <w:rPr>
      <w:rFonts w:ascii="宋体" w:hAnsi="Courier New"/>
    </w:rPr>
  </w:style>
  <w:style w:type="paragraph" w:styleId="23">
    <w:name w:val="toc 8"/>
    <w:basedOn w:val="1"/>
    <w:next w:val="1"/>
    <w:semiHidden/>
    <w:qFormat/>
    <w:uiPriority w:val="0"/>
    <w:pPr>
      <w:ind w:left="2940" w:leftChars="1400"/>
    </w:pPr>
    <w:rPr>
      <w:szCs w:val="24"/>
    </w:rPr>
  </w:style>
  <w:style w:type="paragraph" w:styleId="24">
    <w:name w:val="Date"/>
    <w:basedOn w:val="1"/>
    <w:next w:val="1"/>
    <w:qFormat/>
    <w:uiPriority w:val="0"/>
    <w:rPr>
      <w:rFonts w:eastAsia="楷体"/>
      <w:sz w:val="32"/>
    </w:rPr>
  </w:style>
  <w:style w:type="paragraph" w:styleId="25">
    <w:name w:val="Body Text Indent 2"/>
    <w:basedOn w:val="1"/>
    <w:link w:val="65"/>
    <w:qFormat/>
    <w:uiPriority w:val="99"/>
    <w:pPr>
      <w:ind w:left="105" w:firstLine="690"/>
    </w:pPr>
    <w:rPr>
      <w:sz w:val="32"/>
    </w:rPr>
  </w:style>
  <w:style w:type="paragraph" w:styleId="26">
    <w:name w:val="Balloon Text"/>
    <w:basedOn w:val="1"/>
    <w:link w:val="66"/>
    <w:semiHidden/>
    <w:qFormat/>
    <w:uiPriority w:val="99"/>
    <w:rPr>
      <w:sz w:val="18"/>
      <w:szCs w:val="18"/>
    </w:rPr>
  </w:style>
  <w:style w:type="paragraph" w:styleId="27">
    <w:name w:val="footer"/>
    <w:basedOn w:val="1"/>
    <w:link w:val="67"/>
    <w:qFormat/>
    <w:uiPriority w:val="99"/>
    <w:pPr>
      <w:tabs>
        <w:tab w:val="center" w:pos="4153"/>
        <w:tab w:val="right" w:pos="8306"/>
      </w:tabs>
      <w:adjustRightInd w:val="0"/>
      <w:spacing w:line="240" w:lineRule="atLeast"/>
      <w:jc w:val="left"/>
      <w:textAlignment w:val="baseline"/>
    </w:pPr>
    <w:rPr>
      <w:kern w:val="0"/>
      <w:sz w:val="18"/>
    </w:rPr>
  </w:style>
  <w:style w:type="paragraph" w:styleId="28">
    <w:name w:val="header"/>
    <w:basedOn w:val="1"/>
    <w:link w:val="68"/>
    <w:qFormat/>
    <w:uiPriority w:val="99"/>
    <w:pPr>
      <w:pBdr>
        <w:bottom w:val="single" w:color="auto" w:sz="6" w:space="1"/>
      </w:pBdr>
      <w:tabs>
        <w:tab w:val="center" w:pos="4153"/>
        <w:tab w:val="right" w:pos="8306"/>
      </w:tabs>
      <w:adjustRightInd w:val="0"/>
      <w:spacing w:line="240" w:lineRule="atLeast"/>
      <w:jc w:val="center"/>
      <w:textAlignment w:val="baseline"/>
    </w:pPr>
    <w:rPr>
      <w:kern w:val="0"/>
      <w:sz w:val="18"/>
    </w:rPr>
  </w:style>
  <w:style w:type="paragraph" w:styleId="29">
    <w:name w:val="toc 1"/>
    <w:basedOn w:val="1"/>
    <w:next w:val="1"/>
    <w:qFormat/>
    <w:uiPriority w:val="39"/>
    <w:pPr>
      <w:tabs>
        <w:tab w:val="left" w:pos="840"/>
        <w:tab w:val="right" w:leader="dot" w:pos="8302"/>
      </w:tabs>
      <w:spacing w:before="120" w:after="120"/>
      <w:jc w:val="left"/>
    </w:pPr>
    <w:rPr>
      <w:rFonts w:ascii="宋体" w:hAnsi="宋体"/>
      <w:szCs w:val="24"/>
    </w:rPr>
  </w:style>
  <w:style w:type="paragraph" w:styleId="30">
    <w:name w:val="toc 4"/>
    <w:basedOn w:val="1"/>
    <w:next w:val="1"/>
    <w:semiHidden/>
    <w:qFormat/>
    <w:uiPriority w:val="0"/>
    <w:pPr>
      <w:ind w:left="1260" w:leftChars="600"/>
    </w:pPr>
    <w:rPr>
      <w:szCs w:val="24"/>
    </w:rPr>
  </w:style>
  <w:style w:type="paragraph" w:styleId="31">
    <w:name w:val="index heading"/>
    <w:basedOn w:val="1"/>
    <w:next w:val="32"/>
    <w:unhideWhenUsed/>
    <w:qFormat/>
    <w:uiPriority w:val="99"/>
    <w:rPr>
      <w:rFonts w:ascii="Arial" w:hAnsi="Arial"/>
      <w:b/>
    </w:rPr>
  </w:style>
  <w:style w:type="paragraph" w:styleId="32">
    <w:name w:val="index 1"/>
    <w:basedOn w:val="1"/>
    <w:next w:val="1"/>
    <w:semiHidden/>
    <w:unhideWhenUsed/>
    <w:qFormat/>
    <w:uiPriority w:val="99"/>
  </w:style>
  <w:style w:type="paragraph" w:styleId="33">
    <w:name w:val="Subtitle"/>
    <w:basedOn w:val="1"/>
    <w:link w:val="69"/>
    <w:qFormat/>
    <w:uiPriority w:val="11"/>
    <w:pPr>
      <w:spacing w:before="240" w:after="60" w:line="312" w:lineRule="auto"/>
      <w:jc w:val="center"/>
      <w:outlineLvl w:val="1"/>
    </w:pPr>
    <w:rPr>
      <w:rFonts w:ascii="Arial" w:hAnsi="Arial"/>
      <w:b/>
      <w:kern w:val="28"/>
      <w:sz w:val="32"/>
    </w:rPr>
  </w:style>
  <w:style w:type="paragraph" w:styleId="34">
    <w:name w:val="toc 6"/>
    <w:basedOn w:val="1"/>
    <w:next w:val="1"/>
    <w:semiHidden/>
    <w:qFormat/>
    <w:uiPriority w:val="0"/>
    <w:pPr>
      <w:ind w:left="2100" w:leftChars="1000"/>
    </w:pPr>
    <w:rPr>
      <w:szCs w:val="24"/>
    </w:rPr>
  </w:style>
  <w:style w:type="paragraph" w:styleId="35">
    <w:name w:val="Body Text Indent 3"/>
    <w:basedOn w:val="1"/>
    <w:link w:val="70"/>
    <w:qFormat/>
    <w:uiPriority w:val="0"/>
    <w:pPr>
      <w:adjustRightInd w:val="0"/>
      <w:spacing w:line="360" w:lineRule="auto"/>
      <w:ind w:left="960"/>
      <w:jc w:val="left"/>
      <w:textAlignment w:val="baseline"/>
    </w:pPr>
    <w:rPr>
      <w:rFonts w:eastAsia="楷体"/>
      <w:kern w:val="0"/>
      <w:sz w:val="24"/>
    </w:rPr>
  </w:style>
  <w:style w:type="paragraph" w:styleId="36">
    <w:name w:val="toc 2"/>
    <w:basedOn w:val="1"/>
    <w:next w:val="1"/>
    <w:qFormat/>
    <w:uiPriority w:val="39"/>
    <w:pPr>
      <w:ind w:left="210"/>
      <w:jc w:val="left"/>
    </w:pPr>
    <w:rPr>
      <w:smallCaps/>
      <w:sz w:val="20"/>
    </w:rPr>
  </w:style>
  <w:style w:type="paragraph" w:styleId="37">
    <w:name w:val="toc 9"/>
    <w:basedOn w:val="1"/>
    <w:next w:val="1"/>
    <w:semiHidden/>
    <w:qFormat/>
    <w:uiPriority w:val="0"/>
    <w:pPr>
      <w:ind w:left="3360" w:leftChars="1600"/>
    </w:pPr>
    <w:rPr>
      <w:szCs w:val="24"/>
    </w:rPr>
  </w:style>
  <w:style w:type="paragraph" w:styleId="38">
    <w:name w:val="Normal (Web)"/>
    <w:basedOn w:val="1"/>
    <w:qFormat/>
    <w:uiPriority w:val="99"/>
    <w:pPr>
      <w:widowControl/>
      <w:spacing w:before="100" w:beforeAutospacing="1" w:after="100" w:afterAutospacing="1" w:line="408" w:lineRule="auto"/>
      <w:jc w:val="left"/>
    </w:pPr>
    <w:rPr>
      <w:rFonts w:ascii="Arial" w:hAnsi="Arial" w:cs="Arial"/>
      <w:kern w:val="0"/>
      <w:sz w:val="18"/>
      <w:szCs w:val="18"/>
    </w:rPr>
  </w:style>
  <w:style w:type="paragraph" w:styleId="39">
    <w:name w:val="Title"/>
    <w:basedOn w:val="1"/>
    <w:next w:val="1"/>
    <w:link w:val="71"/>
    <w:qFormat/>
    <w:uiPriority w:val="10"/>
    <w:pPr>
      <w:spacing w:before="240" w:after="60" w:line="360" w:lineRule="auto"/>
      <w:ind w:firstLine="200" w:firstLineChars="200"/>
      <w:jc w:val="center"/>
      <w:outlineLvl w:val="0"/>
    </w:pPr>
    <w:rPr>
      <w:rFonts w:ascii="Cambria" w:hAnsi="Cambria"/>
      <w:b/>
      <w:bCs/>
      <w:sz w:val="32"/>
      <w:szCs w:val="32"/>
    </w:rPr>
  </w:style>
  <w:style w:type="paragraph" w:styleId="40">
    <w:name w:val="annotation subject"/>
    <w:basedOn w:val="16"/>
    <w:next w:val="16"/>
    <w:link w:val="72"/>
    <w:unhideWhenUsed/>
    <w:qFormat/>
    <w:uiPriority w:val="0"/>
    <w:pPr>
      <w:adjustRightInd/>
      <w:spacing w:line="240" w:lineRule="auto"/>
      <w:textAlignment w:val="auto"/>
    </w:pPr>
    <w:rPr>
      <w:b/>
      <w:bCs/>
      <w:kern w:val="2"/>
    </w:rPr>
  </w:style>
  <w:style w:type="paragraph" w:styleId="41">
    <w:name w:val="Body Text First Indent 2"/>
    <w:basedOn w:val="18"/>
    <w:next w:val="1"/>
    <w:qFormat/>
    <w:uiPriority w:val="0"/>
    <w:pPr>
      <w:tabs>
        <w:tab w:val="left" w:pos="5580"/>
      </w:tabs>
      <w:spacing w:after="120"/>
      <w:ind w:left="420" w:leftChars="200" w:firstLine="420" w:firstLineChars="200"/>
    </w:pPr>
    <w:rPr>
      <w:sz w:val="21"/>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qFormat/>
    <w:uiPriority w:val="0"/>
  </w:style>
  <w:style w:type="character" w:styleId="47">
    <w:name w:val="FollowedHyperlink"/>
    <w:qFormat/>
    <w:uiPriority w:val="0"/>
    <w:rPr>
      <w:color w:val="800080"/>
      <w:u w:val="single"/>
    </w:rPr>
  </w:style>
  <w:style w:type="character" w:styleId="48">
    <w:name w:val="Emphasis"/>
    <w:qFormat/>
    <w:uiPriority w:val="20"/>
    <w:rPr>
      <w:i/>
      <w:iCs/>
    </w:rPr>
  </w:style>
  <w:style w:type="character" w:styleId="49">
    <w:name w:val="Hyperlink"/>
    <w:qFormat/>
    <w:uiPriority w:val="99"/>
    <w:rPr>
      <w:color w:val="0000FF"/>
      <w:u w:val="single"/>
    </w:rPr>
  </w:style>
  <w:style w:type="character" w:styleId="50">
    <w:name w:val="annotation reference"/>
    <w:unhideWhenUsed/>
    <w:qFormat/>
    <w:uiPriority w:val="99"/>
    <w:rPr>
      <w:sz w:val="21"/>
      <w:szCs w:val="21"/>
    </w:rPr>
  </w:style>
  <w:style w:type="character" w:styleId="51">
    <w:name w:val="footnote reference"/>
    <w:qFormat/>
    <w:uiPriority w:val="0"/>
    <w:rPr>
      <w:vertAlign w:val="superscript"/>
    </w:rPr>
  </w:style>
  <w:style w:type="character" w:customStyle="1" w:styleId="52">
    <w:name w:val="标题 1 字符"/>
    <w:link w:val="2"/>
    <w:qFormat/>
    <w:uiPriority w:val="9"/>
    <w:rPr>
      <w:b/>
      <w:bCs/>
      <w:kern w:val="44"/>
      <w:sz w:val="44"/>
      <w:szCs w:val="44"/>
    </w:rPr>
  </w:style>
  <w:style w:type="character" w:customStyle="1" w:styleId="53">
    <w:name w:val="标题 4 字符"/>
    <w:link w:val="5"/>
    <w:qFormat/>
    <w:uiPriority w:val="9"/>
    <w:rPr>
      <w:rFonts w:ascii="Arial" w:hAnsi="Arial" w:eastAsia="黑体"/>
      <w:b/>
      <w:sz w:val="28"/>
    </w:rPr>
  </w:style>
  <w:style w:type="character" w:customStyle="1" w:styleId="54">
    <w:name w:val="标题 5 字符"/>
    <w:link w:val="6"/>
    <w:qFormat/>
    <w:uiPriority w:val="9"/>
    <w:rPr>
      <w:b/>
      <w:sz w:val="28"/>
    </w:rPr>
  </w:style>
  <w:style w:type="character" w:customStyle="1" w:styleId="55">
    <w:name w:val="标题 6 字符"/>
    <w:link w:val="7"/>
    <w:qFormat/>
    <w:uiPriority w:val="9"/>
    <w:rPr>
      <w:rFonts w:ascii="Arial" w:hAnsi="Arial" w:eastAsia="黑体"/>
      <w:b/>
      <w:sz w:val="24"/>
    </w:rPr>
  </w:style>
  <w:style w:type="character" w:customStyle="1" w:styleId="56">
    <w:name w:val="标题 7 字符"/>
    <w:link w:val="8"/>
    <w:qFormat/>
    <w:uiPriority w:val="9"/>
    <w:rPr>
      <w:b/>
      <w:sz w:val="24"/>
    </w:rPr>
  </w:style>
  <w:style w:type="character" w:customStyle="1" w:styleId="57">
    <w:name w:val="标题 8 字符"/>
    <w:link w:val="9"/>
    <w:qFormat/>
    <w:uiPriority w:val="9"/>
    <w:rPr>
      <w:rFonts w:ascii="Arial" w:hAnsi="Arial" w:eastAsia="黑体"/>
      <w:sz w:val="24"/>
    </w:rPr>
  </w:style>
  <w:style w:type="character" w:customStyle="1" w:styleId="58">
    <w:name w:val="标题 9 字符"/>
    <w:link w:val="10"/>
    <w:qFormat/>
    <w:uiPriority w:val="9"/>
    <w:rPr>
      <w:rFonts w:ascii="Arial" w:hAnsi="Arial" w:eastAsia="黑体"/>
      <w:sz w:val="21"/>
    </w:rPr>
  </w:style>
  <w:style w:type="character" w:customStyle="1" w:styleId="59">
    <w:name w:val="正文缩进 字符"/>
    <w:link w:val="12"/>
    <w:qFormat/>
    <w:uiPriority w:val="0"/>
    <w:rPr>
      <w:rFonts w:ascii="宋体"/>
      <w:kern w:val="2"/>
      <w:sz w:val="24"/>
      <w:lang w:val="en-US" w:eastAsia="zh-CN"/>
    </w:rPr>
  </w:style>
  <w:style w:type="character" w:customStyle="1" w:styleId="60">
    <w:name w:val="文档结构图 字符"/>
    <w:link w:val="14"/>
    <w:qFormat/>
    <w:uiPriority w:val="0"/>
    <w:rPr>
      <w:kern w:val="2"/>
      <w:sz w:val="21"/>
      <w:shd w:val="clear" w:color="auto" w:fill="000080"/>
    </w:rPr>
  </w:style>
  <w:style w:type="character" w:customStyle="1" w:styleId="61">
    <w:name w:val="批注文字 字符"/>
    <w:link w:val="16"/>
    <w:qFormat/>
    <w:uiPriority w:val="99"/>
    <w:rPr>
      <w:rFonts w:ascii="宋体"/>
      <w:sz w:val="21"/>
    </w:rPr>
  </w:style>
  <w:style w:type="character" w:customStyle="1" w:styleId="62">
    <w:name w:val="正文文本 字符2"/>
    <w:link w:val="17"/>
    <w:qFormat/>
    <w:uiPriority w:val="0"/>
    <w:rPr>
      <w:color w:val="FF0000"/>
      <w:kern w:val="2"/>
      <w:sz w:val="21"/>
    </w:rPr>
  </w:style>
  <w:style w:type="character" w:customStyle="1" w:styleId="63">
    <w:name w:val="正文文本缩进 字符"/>
    <w:link w:val="18"/>
    <w:qFormat/>
    <w:uiPriority w:val="99"/>
    <w:rPr>
      <w:kern w:val="2"/>
      <w:sz w:val="32"/>
    </w:rPr>
  </w:style>
  <w:style w:type="character" w:customStyle="1" w:styleId="64">
    <w:name w:val="纯文本 字符1"/>
    <w:link w:val="22"/>
    <w:qFormat/>
    <w:uiPriority w:val="0"/>
    <w:rPr>
      <w:rFonts w:ascii="宋体" w:hAnsi="Courier New"/>
      <w:kern w:val="2"/>
      <w:sz w:val="21"/>
    </w:rPr>
  </w:style>
  <w:style w:type="character" w:customStyle="1" w:styleId="65">
    <w:name w:val="正文文本缩进 2 字符"/>
    <w:link w:val="25"/>
    <w:qFormat/>
    <w:uiPriority w:val="99"/>
    <w:rPr>
      <w:kern w:val="2"/>
      <w:sz w:val="32"/>
    </w:rPr>
  </w:style>
  <w:style w:type="character" w:customStyle="1" w:styleId="66">
    <w:name w:val="批注框文本 字符"/>
    <w:link w:val="26"/>
    <w:semiHidden/>
    <w:qFormat/>
    <w:uiPriority w:val="99"/>
    <w:rPr>
      <w:kern w:val="2"/>
      <w:sz w:val="18"/>
      <w:szCs w:val="18"/>
    </w:rPr>
  </w:style>
  <w:style w:type="character" w:customStyle="1" w:styleId="67">
    <w:name w:val="页脚 字符"/>
    <w:link w:val="27"/>
    <w:qFormat/>
    <w:uiPriority w:val="99"/>
    <w:rPr>
      <w:sz w:val="18"/>
    </w:rPr>
  </w:style>
  <w:style w:type="character" w:customStyle="1" w:styleId="68">
    <w:name w:val="页眉 字符"/>
    <w:link w:val="28"/>
    <w:qFormat/>
    <w:uiPriority w:val="99"/>
    <w:rPr>
      <w:sz w:val="18"/>
    </w:rPr>
  </w:style>
  <w:style w:type="character" w:customStyle="1" w:styleId="69">
    <w:name w:val="副标题 字符"/>
    <w:link w:val="33"/>
    <w:qFormat/>
    <w:uiPriority w:val="11"/>
    <w:rPr>
      <w:rFonts w:ascii="Arial" w:hAnsi="Arial"/>
      <w:b/>
      <w:kern w:val="28"/>
      <w:sz w:val="32"/>
    </w:rPr>
  </w:style>
  <w:style w:type="character" w:customStyle="1" w:styleId="70">
    <w:name w:val="正文文本缩进 3 字符1"/>
    <w:link w:val="35"/>
    <w:qFormat/>
    <w:uiPriority w:val="0"/>
    <w:rPr>
      <w:rFonts w:eastAsia="楷体"/>
      <w:sz w:val="24"/>
    </w:rPr>
  </w:style>
  <w:style w:type="character" w:customStyle="1" w:styleId="71">
    <w:name w:val="标题 字符1"/>
    <w:link w:val="39"/>
    <w:qFormat/>
    <w:uiPriority w:val="10"/>
    <w:rPr>
      <w:rFonts w:ascii="Cambria" w:hAnsi="Cambria"/>
      <w:b/>
      <w:bCs/>
      <w:kern w:val="2"/>
      <w:sz w:val="32"/>
      <w:szCs w:val="32"/>
    </w:rPr>
  </w:style>
  <w:style w:type="character" w:customStyle="1" w:styleId="72">
    <w:name w:val="批注主题 字符"/>
    <w:link w:val="40"/>
    <w:semiHidden/>
    <w:qFormat/>
    <w:uiPriority w:val="0"/>
    <w:rPr>
      <w:rFonts w:ascii="宋体"/>
      <w:b/>
      <w:bCs/>
      <w:kern w:val="2"/>
      <w:sz w:val="21"/>
    </w:rPr>
  </w:style>
  <w:style w:type="character" w:customStyle="1" w:styleId="73">
    <w:name w:val="标题 字符"/>
    <w:qFormat/>
    <w:uiPriority w:val="0"/>
    <w:rPr>
      <w:kern w:val="2"/>
      <w:sz w:val="30"/>
      <w:szCs w:val="24"/>
    </w:rPr>
  </w:style>
  <w:style w:type="character" w:customStyle="1" w:styleId="74">
    <w:name w:val="正文段落 Char"/>
    <w:link w:val="75"/>
    <w:qFormat/>
    <w:uiPriority w:val="0"/>
    <w:rPr>
      <w:rFonts w:ascii="Calibri" w:hAnsi="Calibri"/>
      <w:kern w:val="2"/>
      <w:sz w:val="24"/>
      <w:szCs w:val="24"/>
    </w:rPr>
  </w:style>
  <w:style w:type="paragraph" w:customStyle="1" w:styleId="75">
    <w:name w:val="正文段落"/>
    <w:basedOn w:val="1"/>
    <w:link w:val="74"/>
    <w:qFormat/>
    <w:uiPriority w:val="0"/>
    <w:pPr>
      <w:spacing w:line="360" w:lineRule="auto"/>
      <w:ind w:firstLine="420"/>
    </w:pPr>
    <w:rPr>
      <w:rFonts w:ascii="Calibri" w:hAnsi="Calibri"/>
      <w:sz w:val="24"/>
      <w:szCs w:val="24"/>
    </w:rPr>
  </w:style>
  <w:style w:type="character" w:customStyle="1" w:styleId="76">
    <w:name w:val="纯文本 字符"/>
    <w:qFormat/>
    <w:uiPriority w:val="0"/>
    <w:rPr>
      <w:rFonts w:ascii="宋体" w:hAnsi="Courier New"/>
      <w:kern w:val="2"/>
      <w:sz w:val="21"/>
    </w:rPr>
  </w:style>
  <w:style w:type="character" w:customStyle="1" w:styleId="77">
    <w:name w:val="Char Char1"/>
    <w:semiHidden/>
    <w:qFormat/>
    <w:locked/>
    <w:uiPriority w:val="0"/>
    <w:rPr>
      <w:rFonts w:ascii="宋体" w:hAnsi="宋体" w:eastAsia="宋体"/>
      <w:sz w:val="21"/>
      <w:lang w:val="en-US" w:eastAsia="zh-CN" w:bidi="ar-SA"/>
    </w:rPr>
  </w:style>
  <w:style w:type="character" w:customStyle="1" w:styleId="78">
    <w:name w:val="title011"/>
    <w:qFormat/>
    <w:uiPriority w:val="0"/>
    <w:rPr>
      <w:rFonts w:hint="default" w:ascii="ˎ̥" w:hAnsi="ˎ̥"/>
      <w:b/>
      <w:bCs/>
      <w:color w:val="A90100"/>
      <w:sz w:val="24"/>
      <w:szCs w:val="24"/>
    </w:rPr>
  </w:style>
  <w:style w:type="character" w:customStyle="1" w:styleId="79">
    <w:name w:val="网格表 6 彩色1"/>
    <w:qFormat/>
    <w:uiPriority w:val="19"/>
    <w:rPr>
      <w:i/>
      <w:iCs/>
      <w:color w:val="808080"/>
    </w:rPr>
  </w:style>
  <w:style w:type="character" w:customStyle="1" w:styleId="80">
    <w:name w:val="批注文字 Char"/>
    <w:qFormat/>
    <w:uiPriority w:val="99"/>
    <w:rPr>
      <w:rFonts w:ascii="Calibri" w:hAnsi="Calibri" w:cs="黑体"/>
      <w:kern w:val="2"/>
      <w:sz w:val="21"/>
      <w:szCs w:val="22"/>
    </w:rPr>
  </w:style>
  <w:style w:type="character" w:customStyle="1" w:styleId="81">
    <w:name w:val="样式 宋体 小四"/>
    <w:qFormat/>
    <w:uiPriority w:val="0"/>
    <w:rPr>
      <w:sz w:val="24"/>
    </w:rPr>
  </w:style>
  <w:style w:type="character" w:customStyle="1" w:styleId="82">
    <w:name w:val="纯文本 Char"/>
    <w:qFormat/>
    <w:uiPriority w:val="0"/>
    <w:rPr>
      <w:rFonts w:ascii="宋体" w:hAnsi="Courier New"/>
      <w:kern w:val="2"/>
      <w:sz w:val="21"/>
    </w:rPr>
  </w:style>
  <w:style w:type="character" w:customStyle="1" w:styleId="83">
    <w:name w:val="apple-style-span"/>
    <w:qFormat/>
    <w:uiPriority w:val="0"/>
  </w:style>
  <w:style w:type="character" w:customStyle="1" w:styleId="84">
    <w:name w:val="ziti011"/>
    <w:qFormat/>
    <w:uiPriority w:val="0"/>
    <w:rPr>
      <w:rFonts w:hint="default" w:ascii="ˎ̥" w:hAnsi="ˎ̥"/>
      <w:color w:val="000000"/>
      <w:sz w:val="18"/>
      <w:szCs w:val="18"/>
    </w:rPr>
  </w:style>
  <w:style w:type="character" w:customStyle="1" w:styleId="85">
    <w:name w:val="中等深浅底纹 1 - 着色 3 Char"/>
    <w:link w:val="86"/>
    <w:qFormat/>
    <w:uiPriority w:val="29"/>
    <w:rPr>
      <w:rFonts w:ascii="Calibri" w:hAnsi="Calibri"/>
      <w:i/>
      <w:iCs/>
      <w:color w:val="000000"/>
      <w:kern w:val="2"/>
      <w:sz w:val="24"/>
      <w:szCs w:val="22"/>
    </w:rPr>
  </w:style>
  <w:style w:type="paragraph" w:customStyle="1" w:styleId="86">
    <w:name w:val="中等深浅底纹 1 - 着色 31"/>
    <w:basedOn w:val="1"/>
    <w:next w:val="1"/>
    <w:link w:val="85"/>
    <w:qFormat/>
    <w:uiPriority w:val="29"/>
    <w:pPr>
      <w:spacing w:line="360" w:lineRule="auto"/>
      <w:ind w:firstLine="200" w:firstLineChars="200"/>
      <w:jc w:val="left"/>
    </w:pPr>
    <w:rPr>
      <w:rFonts w:ascii="Calibri" w:hAnsi="Calibri"/>
      <w:i/>
      <w:iCs/>
      <w:color w:val="000000"/>
      <w:sz w:val="24"/>
      <w:szCs w:val="22"/>
    </w:rPr>
  </w:style>
  <w:style w:type="character" w:customStyle="1" w:styleId="87">
    <w:name w:val="副标题 Char"/>
    <w:qFormat/>
    <w:uiPriority w:val="0"/>
    <w:rPr>
      <w:rFonts w:ascii="Cambria" w:hAnsi="Cambria"/>
      <w:b/>
      <w:bCs/>
      <w:kern w:val="28"/>
      <w:sz w:val="32"/>
      <w:szCs w:val="32"/>
    </w:rPr>
  </w:style>
  <w:style w:type="character" w:customStyle="1" w:styleId="88">
    <w:name w:val="body1"/>
    <w:qFormat/>
    <w:uiPriority w:val="0"/>
    <w:rPr>
      <w:color w:val="202020"/>
      <w:sz w:val="18"/>
      <w:szCs w:val="18"/>
      <w:u w:val="none"/>
    </w:rPr>
  </w:style>
  <w:style w:type="character" w:customStyle="1" w:styleId="89">
    <w:name w:val="网格表 1 浅色 - 着色 11"/>
    <w:qFormat/>
    <w:uiPriority w:val="31"/>
    <w:rPr>
      <w:smallCaps/>
      <w:color w:val="C0504D"/>
      <w:u w:val="single"/>
    </w:rPr>
  </w:style>
  <w:style w:type="character" w:customStyle="1" w:styleId="90">
    <w:name w:val="param-name"/>
    <w:qFormat/>
    <w:uiPriority w:val="0"/>
  </w:style>
  <w:style w:type="character" w:customStyle="1" w:styleId="91">
    <w:name w:val="标题 3 Char"/>
    <w:qFormat/>
    <w:uiPriority w:val="9"/>
    <w:rPr>
      <w:rFonts w:eastAsia="宋体"/>
      <w:b/>
      <w:bCs/>
      <w:kern w:val="2"/>
      <w:sz w:val="32"/>
      <w:szCs w:val="32"/>
      <w:lang w:val="en-US" w:eastAsia="zh-CN" w:bidi="ar-SA"/>
    </w:rPr>
  </w:style>
  <w:style w:type="character" w:customStyle="1" w:styleId="92">
    <w:name w:val="网格表 3 - 着色 11"/>
    <w:qFormat/>
    <w:uiPriority w:val="33"/>
    <w:rPr>
      <w:b/>
      <w:bCs/>
      <w:smallCaps/>
      <w:spacing w:val="5"/>
    </w:rPr>
  </w:style>
  <w:style w:type="character" w:customStyle="1" w:styleId="93">
    <w:name w:val="正文文本 字符"/>
    <w:qFormat/>
    <w:uiPriority w:val="0"/>
    <w:rPr>
      <w:color w:val="FF0000"/>
      <w:kern w:val="2"/>
      <w:sz w:val="21"/>
    </w:rPr>
  </w:style>
  <w:style w:type="character" w:customStyle="1" w:styleId="94">
    <w:name w:val="huei12b1"/>
    <w:qFormat/>
    <w:uiPriority w:val="0"/>
    <w:rPr>
      <w:b/>
      <w:bCs/>
      <w:color w:val="333333"/>
      <w:sz w:val="18"/>
      <w:szCs w:val="18"/>
    </w:rPr>
  </w:style>
  <w:style w:type="character" w:customStyle="1" w:styleId="95">
    <w:name w:val="正文文本 字符1"/>
    <w:qFormat/>
    <w:uiPriority w:val="0"/>
    <w:rPr>
      <w:color w:val="FF0000"/>
      <w:kern w:val="2"/>
      <w:sz w:val="21"/>
    </w:rPr>
  </w:style>
  <w:style w:type="character" w:customStyle="1" w:styleId="96">
    <w:name w:val="Char Char"/>
    <w:semiHidden/>
    <w:qFormat/>
    <w:uiPriority w:val="0"/>
    <w:rPr>
      <w:rFonts w:ascii="宋体" w:eastAsia="宋体"/>
      <w:sz w:val="21"/>
      <w:lang w:val="en-US" w:eastAsia="zh-CN" w:bidi="ar-SA"/>
    </w:rPr>
  </w:style>
  <w:style w:type="character" w:customStyle="1" w:styleId="97">
    <w:name w:val="BODY TEXT Char"/>
    <w:qFormat/>
    <w:uiPriority w:val="0"/>
    <w:rPr>
      <w:rFonts w:eastAsia="新宋体"/>
      <w:kern w:val="2"/>
      <w:sz w:val="21"/>
      <w:szCs w:val="21"/>
      <w:lang w:val="en-US" w:eastAsia="zh-CN" w:bidi="ar-SA"/>
    </w:rPr>
  </w:style>
  <w:style w:type="character" w:customStyle="1" w:styleId="98">
    <w:name w:val="网格表 7 彩色1"/>
    <w:qFormat/>
    <w:uiPriority w:val="21"/>
    <w:rPr>
      <w:b/>
      <w:bCs/>
      <w:i/>
      <w:iCs/>
      <w:color w:val="4F81BD"/>
    </w:rPr>
  </w:style>
  <w:style w:type="character" w:customStyle="1" w:styleId="99">
    <w:name w:val="纯文本 Char1"/>
    <w:qFormat/>
    <w:locked/>
    <w:uiPriority w:val="99"/>
    <w:rPr>
      <w:rFonts w:ascii="宋体" w:hAnsi="Courier New"/>
      <w:kern w:val="2"/>
      <w:sz w:val="21"/>
    </w:rPr>
  </w:style>
  <w:style w:type="character" w:customStyle="1" w:styleId="100">
    <w:name w:val="正文文本缩进 3 字符"/>
    <w:qFormat/>
    <w:uiPriority w:val="0"/>
    <w:rPr>
      <w:rFonts w:eastAsia="楷体"/>
      <w:sz w:val="24"/>
    </w:rPr>
  </w:style>
  <w:style w:type="character" w:customStyle="1" w:styleId="101">
    <w:name w:val="中等深浅底纹 2 - 着色 3 Char"/>
    <w:link w:val="102"/>
    <w:qFormat/>
    <w:uiPriority w:val="30"/>
    <w:rPr>
      <w:rFonts w:ascii="Calibri" w:hAnsi="Calibri"/>
      <w:b/>
      <w:bCs/>
      <w:i/>
      <w:iCs/>
      <w:color w:val="4F81BD"/>
      <w:kern w:val="2"/>
      <w:sz w:val="24"/>
      <w:szCs w:val="22"/>
    </w:rPr>
  </w:style>
  <w:style w:type="paragraph" w:customStyle="1" w:styleId="102">
    <w:name w:val="中等深浅底纹 2 - 着色 31"/>
    <w:basedOn w:val="1"/>
    <w:next w:val="1"/>
    <w:link w:val="101"/>
    <w:qFormat/>
    <w:uiPriority w:val="30"/>
    <w:pPr>
      <w:pBdr>
        <w:bottom w:val="single" w:color="4F81BD" w:sz="4" w:space="4"/>
      </w:pBdr>
      <w:spacing w:before="200" w:after="280" w:line="360" w:lineRule="auto"/>
      <w:ind w:left="936" w:right="936" w:firstLine="200" w:firstLineChars="200"/>
      <w:jc w:val="left"/>
    </w:pPr>
    <w:rPr>
      <w:rFonts w:ascii="Calibri" w:hAnsi="Calibri"/>
      <w:b/>
      <w:bCs/>
      <w:i/>
      <w:iCs/>
      <w:color w:val="4F81BD"/>
      <w:sz w:val="24"/>
      <w:szCs w:val="22"/>
    </w:rPr>
  </w:style>
  <w:style w:type="character" w:customStyle="1" w:styleId="103">
    <w:name w:val="Char Char2"/>
    <w:qFormat/>
    <w:uiPriority w:val="0"/>
    <w:rPr>
      <w:rFonts w:eastAsia="宋体"/>
      <w:kern w:val="2"/>
      <w:sz w:val="18"/>
      <w:szCs w:val="18"/>
      <w:lang w:val="en-US" w:eastAsia="zh-CN" w:bidi="ar-SA"/>
    </w:rPr>
  </w:style>
  <w:style w:type="character" w:customStyle="1" w:styleId="104">
    <w:name w:val="标题 2 Char"/>
    <w:qFormat/>
    <w:uiPriority w:val="9"/>
    <w:rPr>
      <w:rFonts w:ascii="Arial" w:hAnsi="Arial" w:eastAsia="黑体"/>
      <w:b/>
      <w:bCs/>
      <w:kern w:val="2"/>
      <w:sz w:val="32"/>
      <w:szCs w:val="32"/>
      <w:lang w:val="en-US" w:eastAsia="zh-CN" w:bidi="ar-SA"/>
    </w:rPr>
  </w:style>
  <w:style w:type="character" w:customStyle="1" w:styleId="105">
    <w:name w:val="样式 黑体 二号"/>
    <w:qFormat/>
    <w:uiPriority w:val="0"/>
    <w:rPr>
      <w:rFonts w:ascii="Arial" w:hAnsi="Arial" w:eastAsia="黑体"/>
      <w:sz w:val="44"/>
    </w:rPr>
  </w:style>
  <w:style w:type="character" w:customStyle="1" w:styleId="106">
    <w:name w:val="siyo"/>
    <w:qFormat/>
    <w:uiPriority w:val="0"/>
  </w:style>
  <w:style w:type="character" w:customStyle="1" w:styleId="107">
    <w:name w:val="网格表 2 - 着色 11"/>
    <w:qFormat/>
    <w:uiPriority w:val="32"/>
    <w:rPr>
      <w:b/>
      <w:bCs/>
      <w:smallCaps/>
      <w:color w:val="C0504D"/>
      <w:spacing w:val="5"/>
      <w:u w:val="single"/>
    </w:rPr>
  </w:style>
  <w:style w:type="character" w:customStyle="1" w:styleId="108">
    <w:name w:val="列表段落 字符"/>
    <w:qFormat/>
    <w:uiPriority w:val="34"/>
    <w:rPr>
      <w:rFonts w:ascii="等线" w:hAnsi="等线" w:eastAsia="等线"/>
      <w:kern w:val="2"/>
      <w:sz w:val="21"/>
      <w:szCs w:val="22"/>
    </w:rPr>
  </w:style>
  <w:style w:type="paragraph" w:customStyle="1" w:styleId="109">
    <w:name w:val="第一层目录"/>
    <w:basedOn w:val="2"/>
    <w:qFormat/>
    <w:uiPriority w:val="0"/>
    <w:pPr>
      <w:jc w:val="center"/>
    </w:pPr>
    <w:rPr>
      <w:rFonts w:ascii="仿宋_GB2312" w:eastAsia="仿宋_GB2312"/>
      <w:color w:val="000000"/>
      <w:sz w:val="24"/>
      <w:szCs w:val="24"/>
    </w:rPr>
  </w:style>
  <w:style w:type="paragraph" w:customStyle="1" w:styleId="11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rPr>
  </w:style>
  <w:style w:type="paragraph" w:customStyle="1" w:styleId="111">
    <w:name w:val="样式3"/>
    <w:basedOn w:val="17"/>
    <w:qFormat/>
    <w:uiPriority w:val="0"/>
    <w:pPr>
      <w:widowControl w:val="0"/>
      <w:spacing w:after="120"/>
      <w:ind w:firstLine="200" w:firstLineChars="200"/>
      <w:jc w:val="left"/>
    </w:pPr>
    <w:rPr>
      <w:rFonts w:ascii="Calibri" w:hAnsi="Calibri"/>
      <w:color w:val="auto"/>
      <w:sz w:val="24"/>
      <w:szCs w:val="22"/>
    </w:rPr>
  </w:style>
  <w:style w:type="paragraph" w:customStyle="1" w:styleId="112">
    <w:name w:val="(符号)标书正文"/>
    <w:basedOn w:val="1"/>
    <w:qFormat/>
    <w:uiPriority w:val="0"/>
    <w:pPr>
      <w:spacing w:line="500" w:lineRule="exact"/>
      <w:ind w:left="420"/>
    </w:pPr>
    <w:rPr>
      <w:rFonts w:ascii="宋体" w:hAnsi="宋体" w:cs="宋体"/>
      <w:color w:val="000000"/>
      <w:sz w:val="24"/>
    </w:rPr>
  </w:style>
  <w:style w:type="paragraph" w:styleId="113">
    <w:name w:val="List Paragraph"/>
    <w:basedOn w:val="1"/>
    <w:qFormat/>
    <w:uiPriority w:val="34"/>
    <w:pPr>
      <w:ind w:firstLine="420" w:firstLineChars="200"/>
    </w:pPr>
  </w:style>
  <w:style w:type="paragraph" w:customStyle="1" w:styleId="114">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rPr>
  </w:style>
  <w:style w:type="paragraph" w:customStyle="1" w:styleId="115">
    <w:name w:val="纯文本1"/>
    <w:basedOn w:val="1"/>
    <w:qFormat/>
    <w:uiPriority w:val="0"/>
    <w:rPr>
      <w:rFonts w:ascii="宋体" w:hAnsi="Courier New"/>
      <w:szCs w:val="21"/>
      <w:lang w:val="zh-CN"/>
    </w:rPr>
  </w:style>
  <w:style w:type="paragraph" w:customStyle="1" w:styleId="11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7">
    <w:name w:val="Char Char Char Char Char Char Char Char Char Char"/>
    <w:basedOn w:val="1"/>
    <w:qFormat/>
    <w:uiPriority w:val="0"/>
    <w:rPr>
      <w:rFonts w:ascii="宋体" w:hAnsi="宋体" w:eastAsia="黑体"/>
      <w:kern w:val="0"/>
      <w:sz w:val="32"/>
      <w:szCs w:val="32"/>
      <w:lang w:eastAsia="en-US"/>
    </w:rPr>
  </w:style>
  <w:style w:type="paragraph" w:customStyle="1" w:styleId="118">
    <w:name w:val="列出段落1"/>
    <w:basedOn w:val="1"/>
    <w:qFormat/>
    <w:uiPriority w:val="34"/>
    <w:pPr>
      <w:ind w:firstLine="420" w:firstLineChars="200"/>
    </w:pPr>
    <w:rPr>
      <w:szCs w:val="24"/>
    </w:rPr>
  </w:style>
  <w:style w:type="paragraph" w:customStyle="1" w:styleId="11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20">
    <w:name w:val="Char"/>
    <w:basedOn w:val="14"/>
    <w:qFormat/>
    <w:uiPriority w:val="0"/>
    <w:rPr>
      <w:rFonts w:ascii="Tahoma" w:hAnsi="Tahoma"/>
      <w:sz w:val="24"/>
      <w:szCs w:val="24"/>
    </w:rPr>
  </w:style>
  <w:style w:type="paragraph" w:customStyle="1" w:styleId="121">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rPr>
  </w:style>
  <w:style w:type="paragraph" w:customStyle="1" w:styleId="122">
    <w:name w:val="内容1"/>
    <w:basedOn w:val="1"/>
    <w:qFormat/>
    <w:uiPriority w:val="0"/>
    <w:pPr>
      <w:numPr>
        <w:ilvl w:val="0"/>
        <w:numId w:val="1"/>
      </w:numPr>
      <w:spacing w:line="360" w:lineRule="auto"/>
    </w:pPr>
    <w:rPr>
      <w:rFonts w:ascii="宋体" w:hAnsi="宋体"/>
      <w:b/>
      <w:sz w:val="24"/>
      <w:szCs w:val="24"/>
    </w:rPr>
  </w:style>
  <w:style w:type="paragraph" w:customStyle="1" w:styleId="123">
    <w:name w:val="中等深浅网格 2 - 着色 11"/>
    <w:basedOn w:val="1"/>
    <w:qFormat/>
    <w:uiPriority w:val="1"/>
    <w:pPr>
      <w:ind w:firstLine="200" w:firstLineChars="200"/>
      <w:jc w:val="left"/>
    </w:pPr>
    <w:rPr>
      <w:rFonts w:ascii="Calibri" w:hAnsi="Calibri"/>
      <w:sz w:val="24"/>
      <w:szCs w:val="22"/>
    </w:rPr>
  </w:style>
  <w:style w:type="paragraph" w:customStyle="1" w:styleId="12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rPr>
  </w:style>
  <w:style w:type="paragraph" w:customStyle="1" w:styleId="126">
    <w:name w:val="样式 样式 样式 样式 标题 2 + 宋体 五号 非加粗 黑色 + 段前: 6 磅 段后: 0 磅 行距: 单倍行距 + 段前:..."/>
    <w:basedOn w:val="1"/>
    <w:qFormat/>
    <w:uiPriority w:val="0"/>
    <w:pPr>
      <w:keepNext/>
      <w:keepLines/>
      <w:tabs>
        <w:tab w:val="left" w:pos="1304"/>
      </w:tabs>
      <w:adjustRightInd w:val="0"/>
      <w:spacing w:before="240"/>
      <w:ind w:left="1304" w:hanging="397"/>
      <w:jc w:val="left"/>
      <w:textAlignment w:val="baseline"/>
      <w:outlineLvl w:val="1"/>
    </w:pPr>
    <w:rPr>
      <w:rFonts w:ascii="宋体" w:hAnsi="宋体" w:cs="宋体"/>
      <w:b/>
      <w:bCs/>
      <w:color w:val="000000"/>
      <w:kern w:val="0"/>
    </w:rPr>
  </w:style>
  <w:style w:type="paragraph" w:customStyle="1" w:styleId="127">
    <w:name w:val="Char Char Char Char Char Char Char Char"/>
    <w:basedOn w:val="1"/>
    <w:qFormat/>
    <w:uiPriority w:val="0"/>
    <w:pPr>
      <w:tabs>
        <w:tab w:val="left" w:pos="360"/>
      </w:tabs>
    </w:pPr>
    <w:rPr>
      <w:sz w:val="24"/>
      <w:szCs w:val="24"/>
    </w:rPr>
  </w:style>
  <w:style w:type="paragraph" w:customStyle="1" w:styleId="128">
    <w:name w:val="彩色列表 - 着色 11"/>
    <w:basedOn w:val="1"/>
    <w:qFormat/>
    <w:uiPriority w:val="34"/>
    <w:pPr>
      <w:widowControl/>
      <w:ind w:left="480" w:leftChars="200"/>
    </w:pPr>
    <w:rPr>
      <w:rFonts w:ascii="Arial" w:hAnsi="Arial" w:eastAsia="Times New Roman"/>
      <w:kern w:val="0"/>
      <w:sz w:val="24"/>
      <w:lang w:eastAsia="en-US"/>
    </w:rPr>
  </w:style>
  <w:style w:type="paragraph" w:customStyle="1" w:styleId="129">
    <w:name w:val="浅色网格 - 着色 31"/>
    <w:basedOn w:val="1"/>
    <w:qFormat/>
    <w:uiPriority w:val="34"/>
    <w:pPr>
      <w:ind w:firstLine="420" w:firstLineChars="200"/>
    </w:pPr>
    <w:rPr>
      <w:rFonts w:ascii="Calibri" w:hAnsi="Calibri"/>
      <w:szCs w:val="22"/>
    </w:rPr>
  </w:style>
  <w:style w:type="paragraph" w:customStyle="1" w:styleId="130">
    <w:name w:val="(符号)三标题1.1"/>
    <w:basedOn w:val="1"/>
    <w:qFormat/>
    <w:uiPriority w:val="0"/>
    <w:pPr>
      <w:numPr>
        <w:ilvl w:val="0"/>
        <w:numId w:val="2"/>
      </w:numPr>
      <w:spacing w:before="140" w:after="140" w:line="500" w:lineRule="exact"/>
      <w:outlineLvl w:val="2"/>
    </w:pPr>
    <w:rPr>
      <w:rFonts w:ascii="楷体_GB2312" w:hAnsi="宋体" w:eastAsia="楷体_GB2312" w:cs="宋体"/>
      <w:b/>
      <w:bCs/>
      <w:sz w:val="28"/>
    </w:rPr>
  </w:style>
  <w:style w:type="paragraph" w:customStyle="1" w:styleId="13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rPr>
  </w:style>
  <w:style w:type="paragraph" w:customStyle="1" w:styleId="13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33">
    <w:name w:val="列出段落5"/>
    <w:basedOn w:val="1"/>
    <w:qFormat/>
    <w:uiPriority w:val="34"/>
    <w:pPr>
      <w:widowControl/>
      <w:ind w:firstLine="420" w:firstLineChars="200"/>
      <w:jc w:val="left"/>
    </w:pPr>
    <w:rPr>
      <w:rFonts w:ascii="Calibri" w:hAnsi="Calibri" w:cs="黑体"/>
      <w:szCs w:val="22"/>
    </w:rPr>
  </w:style>
  <w:style w:type="paragraph" w:customStyle="1" w:styleId="1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rPr>
  </w:style>
  <w:style w:type="paragraph" w:customStyle="1" w:styleId="135">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rPr>
  </w:style>
  <w:style w:type="paragraph" w:customStyle="1" w:styleId="136">
    <w:name w:val="（符号）二标题总则"/>
    <w:basedOn w:val="1"/>
    <w:qFormat/>
    <w:uiPriority w:val="0"/>
    <w:pPr>
      <w:spacing w:beforeLines="100" w:afterLines="100" w:line="500" w:lineRule="exact"/>
      <w:jc w:val="center"/>
      <w:outlineLvl w:val="1"/>
    </w:pPr>
    <w:rPr>
      <w:rFonts w:ascii="黑体" w:eastAsia="黑体" w:cs="宋体"/>
      <w:b/>
      <w:bCs/>
      <w:sz w:val="32"/>
      <w:szCs w:val="32"/>
    </w:rPr>
  </w:style>
  <w:style w:type="paragraph" w:customStyle="1" w:styleId="137">
    <w:name w:val="正文1"/>
    <w:basedOn w:val="1"/>
    <w:qFormat/>
    <w:uiPriority w:val="0"/>
    <w:pPr>
      <w:widowControl/>
      <w:spacing w:after="200" w:line="300" w:lineRule="atLeast"/>
      <w:jc w:val="left"/>
    </w:pPr>
    <w:rPr>
      <w:rFonts w:ascii="Calibri" w:hAnsi="Calibri" w:cs="宋体"/>
      <w:kern w:val="0"/>
      <w:sz w:val="22"/>
      <w:szCs w:val="22"/>
    </w:rPr>
  </w:style>
  <w:style w:type="paragraph" w:customStyle="1" w:styleId="138">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39">
    <w:name w:val="p5"/>
    <w:basedOn w:val="1"/>
    <w:qFormat/>
    <w:uiPriority w:val="0"/>
    <w:pPr>
      <w:tabs>
        <w:tab w:val="left" w:pos="720"/>
      </w:tabs>
      <w:spacing w:line="240" w:lineRule="atLeast"/>
      <w:jc w:val="left"/>
    </w:pPr>
    <w:rPr>
      <w:kern w:val="0"/>
      <w:sz w:val="24"/>
      <w:lang w:val="en-GB" w:eastAsia="de-DE"/>
    </w:rPr>
  </w:style>
  <w:style w:type="paragraph" w:customStyle="1" w:styleId="140">
    <w:name w:val="浅色列表 - 着色 31"/>
    <w:unhideWhenUsed/>
    <w:qFormat/>
    <w:uiPriority w:val="99"/>
    <w:rPr>
      <w:rFonts w:ascii="Times New Roman" w:hAnsi="Times New Roman" w:eastAsia="宋体" w:cs="Times New Roman"/>
      <w:kern w:val="2"/>
      <w:sz w:val="21"/>
      <w:lang w:val="en-US" w:eastAsia="zh-CN" w:bidi="ar-SA"/>
    </w:rPr>
  </w:style>
  <w:style w:type="paragraph" w:customStyle="1" w:styleId="141">
    <w:name w:val="彩色底纹 - 着色 11"/>
    <w:unhideWhenUsed/>
    <w:qFormat/>
    <w:uiPriority w:val="99"/>
    <w:rPr>
      <w:rFonts w:ascii="Times New Roman" w:hAnsi="Times New Roman" w:eastAsia="宋体" w:cs="Times New Roman"/>
      <w:kern w:val="2"/>
      <w:sz w:val="21"/>
      <w:lang w:val="en-US" w:eastAsia="zh-CN" w:bidi="ar-SA"/>
    </w:rPr>
  </w:style>
  <w:style w:type="paragraph" w:customStyle="1" w:styleId="142">
    <w:name w:val="ItemDescription"/>
    <w:basedOn w:val="1"/>
    <w:qFormat/>
    <w:uiPriority w:val="0"/>
    <w:pPr>
      <w:tabs>
        <w:tab w:val="right" w:pos="1420"/>
        <w:tab w:val="left" w:pos="1580"/>
        <w:tab w:val="right" w:pos="9620"/>
      </w:tabs>
      <w:overflowPunct w:val="0"/>
      <w:autoSpaceDE w:val="0"/>
      <w:autoSpaceDN w:val="0"/>
      <w:adjustRightInd w:val="0"/>
      <w:spacing w:before="200"/>
      <w:jc w:val="left"/>
      <w:textAlignment w:val="baseline"/>
    </w:pPr>
    <w:rPr>
      <w:rFonts w:ascii="宋体"/>
      <w:b/>
      <w:kern w:val="0"/>
      <w:sz w:val="20"/>
    </w:rPr>
  </w:style>
  <w:style w:type="paragraph" w:customStyle="1" w:styleId="14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rPr>
  </w:style>
  <w:style w:type="paragraph" w:customStyle="1" w:styleId="14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5">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rPr>
  </w:style>
  <w:style w:type="paragraph" w:customStyle="1" w:styleId="14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rPr>
  </w:style>
  <w:style w:type="paragraph" w:customStyle="1" w:styleId="147">
    <w:name w:val="样式 标题 1 + 四号 居中 段前: 12 磅 段后: 12 磅 行距: 单倍行距"/>
    <w:basedOn w:val="2"/>
    <w:qFormat/>
    <w:uiPriority w:val="0"/>
    <w:pPr>
      <w:adjustRightInd w:val="0"/>
      <w:spacing w:before="240" w:after="240" w:line="240" w:lineRule="auto"/>
      <w:ind w:left="4392" w:firstLine="288"/>
      <w:jc w:val="center"/>
      <w:textAlignment w:val="baseline"/>
    </w:pPr>
    <w:rPr>
      <w:rFonts w:cs="宋体"/>
      <w:sz w:val="28"/>
      <w:szCs w:val="20"/>
    </w:rPr>
  </w:style>
  <w:style w:type="paragraph" w:customStyle="1" w:styleId="14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rPr>
  </w:style>
  <w:style w:type="paragraph" w:customStyle="1" w:styleId="149">
    <w:name w:val="（符号）三标题1.1"/>
    <w:basedOn w:val="1"/>
    <w:qFormat/>
    <w:uiPriority w:val="0"/>
    <w:pPr>
      <w:numPr>
        <w:ilvl w:val="1"/>
        <w:numId w:val="3"/>
      </w:numPr>
      <w:spacing w:line="500" w:lineRule="exact"/>
    </w:pPr>
    <w:rPr>
      <w:rFonts w:ascii="宋体" w:hAnsi="宋体"/>
      <w:sz w:val="24"/>
      <w:szCs w:val="24"/>
    </w:rPr>
  </w:style>
  <w:style w:type="paragraph" w:customStyle="1" w:styleId="15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1">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52">
    <w:name w:val="List Paragraph1"/>
    <w:basedOn w:val="1"/>
    <w:qFormat/>
    <w:uiPriority w:val="34"/>
    <w:pPr>
      <w:ind w:firstLine="420" w:firstLineChars="200"/>
    </w:pPr>
    <w:rPr>
      <w:szCs w:val="24"/>
    </w:rPr>
  </w:style>
  <w:style w:type="paragraph" w:customStyle="1" w:styleId="153">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54">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rPr>
  </w:style>
  <w:style w:type="paragraph" w:customStyle="1" w:styleId="155">
    <w:name w:val="LIST 1"/>
    <w:basedOn w:val="1"/>
    <w:qFormat/>
    <w:uiPriority w:val="0"/>
    <w:pPr>
      <w:widowControl/>
      <w:tabs>
        <w:tab w:val="left" w:pos="7920"/>
      </w:tabs>
      <w:ind w:left="960" w:hanging="360"/>
    </w:pPr>
    <w:rPr>
      <w:kern w:val="0"/>
      <w:sz w:val="24"/>
      <w:lang w:eastAsia="en-US"/>
    </w:rPr>
  </w:style>
  <w:style w:type="paragraph" w:customStyle="1" w:styleId="156">
    <w:name w:val="列出段落2"/>
    <w:basedOn w:val="1"/>
    <w:next w:val="113"/>
    <w:qFormat/>
    <w:uiPriority w:val="34"/>
    <w:pPr>
      <w:ind w:firstLine="420" w:firstLineChars="200"/>
    </w:pPr>
    <w:rPr>
      <w:rFonts w:ascii="等线" w:hAnsi="等线" w:eastAsia="等线"/>
      <w:szCs w:val="22"/>
    </w:rPr>
  </w:style>
  <w:style w:type="paragraph" w:customStyle="1" w:styleId="15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rPr>
  </w:style>
  <w:style w:type="paragraph" w:customStyle="1" w:styleId="158">
    <w:name w:val="font8"/>
    <w:basedOn w:val="1"/>
    <w:qFormat/>
    <w:uiPriority w:val="0"/>
    <w:pPr>
      <w:widowControl/>
      <w:spacing w:before="100" w:beforeAutospacing="1" w:after="100" w:afterAutospacing="1"/>
      <w:jc w:val="left"/>
    </w:pPr>
    <w:rPr>
      <w:kern w:val="0"/>
      <w:sz w:val="36"/>
      <w:szCs w:val="36"/>
    </w:rPr>
  </w:style>
  <w:style w:type="paragraph" w:customStyle="1" w:styleId="159">
    <w:name w:val="font7"/>
    <w:basedOn w:val="1"/>
    <w:qFormat/>
    <w:uiPriority w:val="0"/>
    <w:pPr>
      <w:widowControl/>
      <w:spacing w:before="100" w:beforeAutospacing="1" w:after="100" w:afterAutospacing="1"/>
      <w:jc w:val="left"/>
    </w:pPr>
    <w:rPr>
      <w:rFonts w:eastAsia="Arial Unicode MS"/>
      <w:b/>
      <w:bCs/>
      <w:color w:val="000000"/>
      <w:kern w:val="0"/>
      <w:sz w:val="20"/>
    </w:rPr>
  </w:style>
  <w:style w:type="paragraph" w:customStyle="1" w:styleId="160">
    <w:name w:val="Geräte-Text"/>
    <w:basedOn w:val="1"/>
    <w:qFormat/>
    <w:uiPriority w:val="0"/>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16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rPr>
  </w:style>
  <w:style w:type="paragraph" w:customStyle="1" w:styleId="162">
    <w:name w:val="Comment Text1"/>
    <w:basedOn w:val="1"/>
    <w:next w:val="1"/>
    <w:qFormat/>
    <w:uiPriority w:val="0"/>
    <w:pPr>
      <w:autoSpaceDE w:val="0"/>
      <w:autoSpaceDN w:val="0"/>
      <w:adjustRightInd w:val="0"/>
      <w:jc w:val="left"/>
    </w:pPr>
    <w:rPr>
      <w:rFonts w:ascii="KJFCLG+TimesNewRoman" w:eastAsia="KJFCLG+TimesNewRoman"/>
      <w:kern w:val="0"/>
      <w:sz w:val="24"/>
      <w:szCs w:val="24"/>
    </w:rPr>
  </w:style>
  <w:style w:type="paragraph" w:customStyle="1" w:styleId="16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164">
    <w:name w:val="Char Char Char Char Char Char Char"/>
    <w:basedOn w:val="1"/>
    <w:semiHidden/>
    <w:qFormat/>
    <w:uiPriority w:val="0"/>
    <w:rPr>
      <w:rFonts w:ascii="Tahoma" w:hAnsi="Tahoma" w:cs="仿宋_GB2312"/>
      <w:sz w:val="24"/>
      <w:szCs w:val="28"/>
    </w:rPr>
  </w:style>
  <w:style w:type="paragraph" w:customStyle="1" w:styleId="165">
    <w:name w:val="主文字"/>
    <w:basedOn w:val="1"/>
    <w:qFormat/>
    <w:uiPriority w:val="0"/>
    <w:pPr>
      <w:autoSpaceDE w:val="0"/>
      <w:autoSpaceDN w:val="0"/>
      <w:adjustRightInd w:val="0"/>
      <w:ind w:firstLine="480" w:firstLineChars="200"/>
      <w:jc w:val="left"/>
    </w:pPr>
    <w:rPr>
      <w:rFonts w:ascii="宋体" w:hAnsi="宋体"/>
      <w:kern w:val="0"/>
      <w:sz w:val="24"/>
      <w:szCs w:val="24"/>
    </w:rPr>
  </w:style>
  <w:style w:type="paragraph" w:customStyle="1" w:styleId="166">
    <w:name w:val="Char Char Char Char Char Char1 Char Char Char Char"/>
    <w:basedOn w:val="14"/>
    <w:qFormat/>
    <w:uiPriority w:val="0"/>
    <w:rPr>
      <w:rFonts w:ascii="Tahoma" w:hAnsi="Tahoma"/>
      <w:sz w:val="24"/>
      <w:szCs w:val="24"/>
    </w:rPr>
  </w:style>
  <w:style w:type="paragraph" w:customStyle="1" w:styleId="167">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rPr>
  </w:style>
  <w:style w:type="paragraph" w:customStyle="1" w:styleId="168">
    <w:name w:val="font6"/>
    <w:basedOn w:val="1"/>
    <w:qFormat/>
    <w:uiPriority w:val="0"/>
    <w:pPr>
      <w:widowControl/>
      <w:spacing w:before="100" w:beforeAutospacing="1" w:after="100" w:afterAutospacing="1"/>
      <w:jc w:val="left"/>
    </w:pPr>
    <w:rPr>
      <w:rFonts w:ascii="宋体" w:hAnsi="宋体" w:cs="宋体"/>
      <w:kern w:val="0"/>
      <w:sz w:val="20"/>
    </w:rPr>
  </w:style>
  <w:style w:type="paragraph" w:customStyle="1" w:styleId="16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rPr>
  </w:style>
  <w:style w:type="paragraph" w:customStyle="1" w:styleId="170">
    <w:name w:val="（1）"/>
    <w:basedOn w:val="1"/>
    <w:qFormat/>
    <w:uiPriority w:val="0"/>
    <w:pPr>
      <w:autoSpaceDE w:val="0"/>
      <w:autoSpaceDN w:val="0"/>
      <w:adjustRightInd w:val="0"/>
      <w:ind w:firstLine="361" w:firstLineChars="150"/>
      <w:jc w:val="left"/>
    </w:pPr>
    <w:rPr>
      <w:b/>
      <w:kern w:val="0"/>
      <w:sz w:val="24"/>
      <w:szCs w:val="24"/>
    </w:rPr>
  </w:style>
  <w:style w:type="paragraph" w:customStyle="1" w:styleId="171">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rPr>
  </w:style>
  <w:style w:type="paragraph" w:customStyle="1" w:styleId="17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rPr>
  </w:style>
  <w:style w:type="paragraph" w:customStyle="1" w:styleId="173">
    <w:name w:val="(符号)五标题1.1.1"/>
    <w:basedOn w:val="1"/>
    <w:qFormat/>
    <w:uiPriority w:val="0"/>
    <w:pPr>
      <w:numPr>
        <w:ilvl w:val="2"/>
        <w:numId w:val="2"/>
      </w:numPr>
      <w:spacing w:line="500" w:lineRule="exact"/>
    </w:pPr>
    <w:rPr>
      <w:rFonts w:ascii="宋体" w:hAnsi="宋体" w:cs="宋体"/>
      <w:color w:val="000000"/>
      <w:sz w:val="24"/>
    </w:rPr>
  </w:style>
  <w:style w:type="paragraph" w:customStyle="1" w:styleId="174">
    <w:name w:val="网格表 5 深色 - 着色 11"/>
    <w:basedOn w:val="2"/>
    <w:next w:val="1"/>
    <w:qFormat/>
    <w:uiPriority w:val="39"/>
    <w:pPr>
      <w:ind w:firstLine="200" w:firstLineChars="200"/>
      <w:jc w:val="left"/>
      <w:outlineLvl w:val="9"/>
    </w:pPr>
    <w:rPr>
      <w:rFonts w:ascii="Calibri" w:hAnsi="Calibri"/>
    </w:rPr>
  </w:style>
  <w:style w:type="paragraph" w:customStyle="1" w:styleId="17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rPr>
  </w:style>
  <w:style w:type="paragraph" w:customStyle="1" w:styleId="176">
    <w:name w:val="List Paragraph2"/>
    <w:basedOn w:val="1"/>
    <w:qFormat/>
    <w:uiPriority w:val="34"/>
    <w:pPr>
      <w:ind w:firstLine="420" w:firstLineChars="200"/>
    </w:pPr>
    <w:rPr>
      <w:rFonts w:ascii="Calibri" w:hAnsi="Calibri"/>
      <w:szCs w:val="24"/>
    </w:rPr>
  </w:style>
  <w:style w:type="paragraph" w:customStyle="1" w:styleId="177">
    <w:name w:val="正文文本1"/>
    <w:basedOn w:val="1"/>
    <w:qFormat/>
    <w:uiPriority w:val="0"/>
    <w:pPr>
      <w:adjustRightInd w:val="0"/>
      <w:spacing w:before="120" w:afterLines="50" w:line="280" w:lineRule="atLeast"/>
      <w:textAlignment w:val="baseline"/>
    </w:pPr>
    <w:rPr>
      <w:rFonts w:eastAsia="新宋体"/>
      <w:szCs w:val="21"/>
    </w:rPr>
  </w:style>
  <w:style w:type="paragraph" w:customStyle="1" w:styleId="178">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80">
    <w:name w:val="p3"/>
    <w:basedOn w:val="1"/>
    <w:qFormat/>
    <w:uiPriority w:val="0"/>
    <w:pPr>
      <w:widowControl/>
      <w:spacing w:before="100" w:beforeAutospacing="1" w:after="100" w:afterAutospacing="1" w:line="312" w:lineRule="auto"/>
      <w:jc w:val="left"/>
    </w:pPr>
    <w:rPr>
      <w:rFonts w:ascii="宋体" w:hAnsi="宋体"/>
      <w:kern w:val="0"/>
      <w:szCs w:val="21"/>
    </w:rPr>
  </w:style>
  <w:style w:type="paragraph" w:customStyle="1" w:styleId="181">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rPr>
  </w:style>
  <w:style w:type="paragraph" w:customStyle="1" w:styleId="18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rPr>
  </w:style>
  <w:style w:type="paragraph" w:customStyle="1" w:styleId="18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4">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rPr>
  </w:style>
  <w:style w:type="paragraph" w:customStyle="1" w:styleId="1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rPr>
  </w:style>
  <w:style w:type="character" w:customStyle="1" w:styleId="186">
    <w:name w:val="question-title-txt"/>
    <w:qFormat/>
    <w:uiPriority w:val="0"/>
  </w:style>
  <w:style w:type="paragraph" w:customStyle="1" w:styleId="187">
    <w:name w:val="修订1"/>
    <w:unhideWhenUsed/>
    <w:qFormat/>
    <w:uiPriority w:val="99"/>
    <w:rPr>
      <w:rFonts w:ascii="Times New Roman" w:hAnsi="Times New Roman" w:eastAsia="宋体" w:cs="Times New Roman"/>
      <w:kern w:val="2"/>
      <w:sz w:val="21"/>
      <w:lang w:val="en-US" w:eastAsia="zh-CN" w:bidi="ar-SA"/>
    </w:rPr>
  </w:style>
  <w:style w:type="paragraph" w:customStyle="1" w:styleId="188">
    <w:name w:val="图例"/>
    <w:basedOn w:val="1"/>
    <w:qFormat/>
    <w:uiPriority w:val="0"/>
    <w:pPr>
      <w:spacing w:before="120" w:after="120" w:line="360" w:lineRule="auto"/>
      <w:jc w:val="center"/>
    </w:pPr>
    <w:rPr>
      <w:rFonts w:eastAsia="仿宋_GB2312"/>
      <w:b/>
      <w:sz w:val="24"/>
    </w:rPr>
  </w:style>
  <w:style w:type="paragraph" w:customStyle="1" w:styleId="189">
    <w:name w:val="修订2"/>
    <w:hidden/>
    <w:semiHidden/>
    <w:qFormat/>
    <w:uiPriority w:val="99"/>
    <w:rPr>
      <w:rFonts w:ascii="Times New Roman" w:hAnsi="Times New Roman" w:eastAsia="宋体" w:cs="Times New Roman"/>
      <w:kern w:val="2"/>
      <w:sz w:val="21"/>
      <w:lang w:val="en-US" w:eastAsia="zh-CN" w:bidi="ar-SA"/>
    </w:rPr>
  </w:style>
  <w:style w:type="paragraph" w:customStyle="1" w:styleId="190">
    <w:name w:val="正文缩进1"/>
    <w:basedOn w:val="1"/>
    <w:autoRedefine/>
    <w:qFormat/>
    <w:uiPriority w:val="0"/>
    <w:pPr>
      <w:widowControl/>
      <w:adjustRightInd w:val="0"/>
      <w:snapToGrid w:val="0"/>
      <w:spacing w:line="480" w:lineRule="exact"/>
      <w:ind w:firstLine="567"/>
    </w:pPr>
    <w:rPr>
      <w:rFonts w:ascii="宋体"/>
      <w:snapToGrid w:val="0"/>
      <w:color w:val="000000"/>
      <w:kern w:val="28"/>
      <w:sz w:val="28"/>
    </w:rPr>
  </w:style>
  <w:style w:type="paragraph" w:customStyle="1" w:styleId="191">
    <w:name w:val="Table Text"/>
    <w:basedOn w:val="1"/>
    <w:qFormat/>
    <w:uiPriority w:val="0"/>
    <w:pPr>
      <w:widowControl/>
      <w:autoSpaceDE w:val="0"/>
      <w:autoSpaceDN w:val="0"/>
      <w:spacing w:before="60" w:after="60"/>
      <w:jc w:val="left"/>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ceiec</Company>
  <Pages>49</Pages>
  <Words>10367</Words>
  <Characters>11098</Characters>
  <Lines>195</Lines>
  <Paragraphs>55</Paragraphs>
  <TotalTime>15</TotalTime>
  <ScaleCrop>false</ScaleCrop>
  <LinksUpToDate>false</LinksUpToDate>
  <CharactersWithSpaces>11512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2025-01-02T07:56:00Z</dcterms:created>
  <dc:creator>xuyazi</dc:creator>
  <cp:lastModifiedBy>周若晴</cp:lastModifiedBy>
  <cp:lastPrinted>2023-02-07T03:19:00Z</cp:lastPrinted>
  <dcterms:modified xsi:type="dcterms:W3CDTF">2025-01-06T07:36:35Z</dcterms:modified>
  <dc:title>机电产品采购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086697C65F5948A0B7219E0A600DA837</vt:lpwstr>
  </property>
  <property fmtid="{D5CDD505-2E9C-101B-9397-08002B2CF9AE}" pid="4" name="KSOTemplateDocerSaveRecord">
    <vt:lpwstr>eyJoZGlkIjoiZDY4NzhlMDZiOTEwZThjOGMwNTU1ZWRiYmI5YmI3YTkiLCJ1c2VySWQiOiI1MTc2NzM5MjkifQ==</vt:lpwstr>
  </property>
</Properties>
</file>